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844" w:rsidRDefault="00C152D7">
      <w:pPr>
        <w:spacing w:before="200" w:after="160"/>
        <w:jc w:val="center"/>
        <w:rPr>
          <w:b/>
          <w:sz w:val="24"/>
          <w:szCs w:val="24"/>
        </w:rPr>
      </w:pPr>
      <w:r>
        <w:rPr>
          <w:b/>
          <w:sz w:val="24"/>
          <w:szCs w:val="24"/>
        </w:rPr>
        <w:t>BASES GENERALES FONDO CONCURSABLE</w:t>
      </w:r>
    </w:p>
    <w:p w:rsidR="00732844" w:rsidRDefault="00C152D7">
      <w:pPr>
        <w:spacing w:after="160"/>
        <w:jc w:val="center"/>
        <w:rPr>
          <w:sz w:val="20"/>
          <w:szCs w:val="20"/>
        </w:rPr>
      </w:pPr>
      <w:r>
        <w:rPr>
          <w:sz w:val="20"/>
          <w:szCs w:val="20"/>
        </w:rPr>
        <w:t xml:space="preserve">POSTULACIÓN AL FONDO SOCIAL CREALAB 2025, DIRECCIÓN GENERAL DE VINCULACIÓN CON EL MEDIO </w:t>
      </w:r>
    </w:p>
    <w:p w:rsidR="00732844" w:rsidRDefault="00C152D7">
      <w:pPr>
        <w:jc w:val="center"/>
        <w:rPr>
          <w:rFonts w:ascii="Calibri" w:eastAsia="Calibri" w:hAnsi="Calibri" w:cs="Calibri"/>
          <w:b/>
        </w:rPr>
      </w:pPr>
      <w:r>
        <w:rPr>
          <w:rFonts w:ascii="Calibri" w:eastAsia="Calibri" w:hAnsi="Calibri" w:cs="Calibri"/>
          <w:b/>
        </w:rPr>
        <w:t xml:space="preserve">CD UPA 2395 </w:t>
      </w:r>
    </w:p>
    <w:p w:rsidR="00732844" w:rsidRDefault="00C152D7">
      <w:pPr>
        <w:jc w:val="center"/>
        <w:rPr>
          <w:rFonts w:ascii="Calibri" w:eastAsia="Calibri" w:hAnsi="Calibri" w:cs="Calibri"/>
          <w:b/>
        </w:rPr>
      </w:pPr>
      <w:r>
        <w:rPr>
          <w:rFonts w:ascii="Calibri" w:eastAsia="Calibri" w:hAnsi="Calibri" w:cs="Calibri"/>
          <w:b/>
        </w:rPr>
        <w:t xml:space="preserve">UNIVERSIDAD DE PLAYA ANCHA DE CIENCIAS DE LA EDUCACIÓN </w:t>
      </w:r>
    </w:p>
    <w:p w:rsidR="00732844" w:rsidRDefault="00732844">
      <w:pPr>
        <w:spacing w:after="154" w:line="240" w:lineRule="auto"/>
        <w:ind w:left="-4" w:hanging="9"/>
        <w:jc w:val="center"/>
        <w:rPr>
          <w:rFonts w:ascii="Calibri" w:eastAsia="Calibri" w:hAnsi="Calibri" w:cs="Calibri"/>
          <w:b/>
          <w:sz w:val="24"/>
          <w:szCs w:val="24"/>
        </w:rPr>
      </w:pPr>
    </w:p>
    <w:p w:rsidR="00732844" w:rsidRDefault="00C152D7">
      <w:pPr>
        <w:numPr>
          <w:ilvl w:val="0"/>
          <w:numId w:val="9"/>
        </w:numPr>
        <w:jc w:val="both"/>
        <w:rPr>
          <w:rFonts w:ascii="Calibri" w:eastAsia="Calibri" w:hAnsi="Calibri" w:cs="Calibri"/>
          <w:b/>
          <w:color w:val="202124"/>
          <w:sz w:val="24"/>
          <w:szCs w:val="24"/>
          <w:highlight w:val="white"/>
        </w:rPr>
      </w:pPr>
      <w:r>
        <w:rPr>
          <w:rFonts w:ascii="Calibri" w:eastAsia="Calibri" w:hAnsi="Calibri" w:cs="Calibri"/>
          <w:b/>
          <w:color w:val="202124"/>
          <w:sz w:val="24"/>
          <w:szCs w:val="24"/>
          <w:highlight w:val="white"/>
        </w:rPr>
        <w:t>Antecedentes</w:t>
      </w:r>
    </w:p>
    <w:p w:rsidR="00732844" w:rsidRDefault="00C152D7">
      <w:pPr>
        <w:spacing w:after="160"/>
        <w:jc w:val="both"/>
        <w:rPr>
          <w:rFonts w:ascii="Calibri" w:eastAsia="Calibri" w:hAnsi="Calibri" w:cs="Calibri"/>
          <w:highlight w:val="white"/>
        </w:rPr>
      </w:pPr>
      <w:r>
        <w:rPr>
          <w:rFonts w:ascii="Calibri" w:eastAsia="Calibri" w:hAnsi="Calibri" w:cs="Calibri"/>
          <w:highlight w:val="white"/>
        </w:rPr>
        <w:t xml:space="preserve">En el marco de la Política Institucional de Vinculación con el Medio (DGVM) y del </w:t>
      </w:r>
      <w:r>
        <w:rPr>
          <w:rFonts w:ascii="Calibri" w:eastAsia="Calibri" w:hAnsi="Calibri" w:cs="Calibri"/>
        </w:rPr>
        <w:t xml:space="preserve">Proyecto CD UPA 2395 aprobado por el Decreto Exento 920/2021 de Rectoría, el Laboratorio de Innovación Social y Creatividad  - en adelante “Social CreaLab” - de la Unidad de Vinculación Académica y Desarrollo Territorial surge como espacio universitario cuyo propósito es la </w:t>
      </w:r>
      <w:r>
        <w:rPr>
          <w:rFonts w:ascii="Calibri" w:eastAsia="Calibri" w:hAnsi="Calibri" w:cs="Calibri"/>
          <w:highlight w:val="white"/>
        </w:rPr>
        <w:t>ejecución de proyectos vinculados a temáticas estratégicas para el desarrollo de Playa Ancha y la Región de Valparaíso, proponiendo soluciones enmarcadas en la innovación social desde la investigación y la experimentación con impacto social.</w:t>
      </w:r>
      <w:r>
        <w:rPr>
          <w:rFonts w:ascii="Calibri" w:eastAsia="Calibri" w:hAnsi="Calibri" w:cs="Calibri"/>
          <w:highlight w:val="white"/>
          <w:vertAlign w:val="superscript"/>
        </w:rPr>
        <w:footnoteReference w:id="1"/>
      </w:r>
      <w:r>
        <w:rPr>
          <w:rFonts w:ascii="Calibri" w:eastAsia="Calibri" w:hAnsi="Calibri" w:cs="Calibri"/>
          <w:highlight w:val="white"/>
          <w:vertAlign w:val="superscript"/>
        </w:rPr>
        <w:t xml:space="preserve"> </w:t>
      </w:r>
    </w:p>
    <w:p w:rsidR="00732844" w:rsidRDefault="00C152D7">
      <w:pPr>
        <w:spacing w:after="160"/>
        <w:jc w:val="both"/>
        <w:rPr>
          <w:rFonts w:ascii="Calibri" w:eastAsia="Calibri" w:hAnsi="Calibri" w:cs="Calibri"/>
          <w:highlight w:val="white"/>
        </w:rPr>
      </w:pPr>
      <w:r>
        <w:rPr>
          <w:rFonts w:ascii="Calibri" w:eastAsia="Calibri" w:hAnsi="Calibri" w:cs="Calibri"/>
          <w:highlight w:val="white"/>
        </w:rPr>
        <w:t>En este contexto, se crea el Fondo “SOCIAL CREALAB”, dirigido a equipos conformados obligatoriamente por académicos/as</w:t>
      </w:r>
      <w:r>
        <w:rPr>
          <w:rFonts w:ascii="Calibri" w:eastAsia="Calibri" w:hAnsi="Calibri" w:cs="Calibri"/>
          <w:highlight w:val="white"/>
          <w:vertAlign w:val="superscript"/>
        </w:rPr>
        <w:footnoteReference w:id="2"/>
      </w:r>
      <w:r>
        <w:rPr>
          <w:rFonts w:ascii="Calibri" w:eastAsia="Calibri" w:hAnsi="Calibri" w:cs="Calibri"/>
          <w:highlight w:val="white"/>
        </w:rPr>
        <w:t>, estudiantes de pre y/o postgrado, actores territoriales y, opcional</w:t>
      </w:r>
      <w:r>
        <w:rPr>
          <w:rFonts w:ascii="Calibri" w:eastAsia="Calibri" w:hAnsi="Calibri" w:cs="Calibri"/>
        </w:rPr>
        <w:t>mente, funcionarios/as</w:t>
      </w:r>
      <w:r>
        <w:rPr>
          <w:rFonts w:ascii="Calibri" w:eastAsia="Calibri" w:hAnsi="Calibri" w:cs="Calibri"/>
          <w:vertAlign w:val="superscript"/>
        </w:rPr>
        <w:footnoteReference w:id="3"/>
      </w:r>
      <w:r>
        <w:rPr>
          <w:rFonts w:ascii="Calibri" w:eastAsia="Calibri" w:hAnsi="Calibri" w:cs="Calibri"/>
        </w:rPr>
        <w:t>, cuyo prop</w:t>
      </w:r>
      <w:r>
        <w:rPr>
          <w:rFonts w:ascii="Calibri" w:eastAsia="Calibri" w:hAnsi="Calibri" w:cs="Calibri"/>
          <w:highlight w:val="white"/>
        </w:rPr>
        <w:t>ósito es servir como una instancia de trabajo bidireccional, que incorpora propuestas colaborativas desde distintas miradas académicas en diálogo constante con los territorios y organismos públicos y privados de la región, respondiendo a los objetivos estratégicos de posicionamiento institucional con el desarrollo de sus localidades con foco en la región de Valparaíso.</w:t>
      </w:r>
    </w:p>
    <w:p w:rsidR="00732844" w:rsidRDefault="00C152D7">
      <w:pPr>
        <w:spacing w:after="160"/>
        <w:jc w:val="both"/>
        <w:rPr>
          <w:rFonts w:ascii="Calibri" w:eastAsia="Calibri" w:hAnsi="Calibri" w:cs="Calibri"/>
          <w:highlight w:val="white"/>
        </w:rPr>
      </w:pPr>
      <w:r>
        <w:rPr>
          <w:rFonts w:ascii="Calibri" w:eastAsia="Calibri" w:hAnsi="Calibri" w:cs="Calibri"/>
          <w:highlight w:val="white"/>
        </w:rPr>
        <w:t xml:space="preserve">La bidireccionalidad es el atributo de las interacciones que establece, en este caso, la Universidad de Playa Ancha y los actores de su entorno relevante, que permiten el reconocimiento, la valoración y la generación de beneficio mutuo, es decir, contribuciones tanto al desarrollo del proyecto institucional y el proceso educativo de sus estudiantes, como a las necesidades externas del entorno relevante de la institución a partir de un trabajo </w:t>
      </w:r>
      <w:proofErr w:type="spellStart"/>
      <w:r>
        <w:rPr>
          <w:rFonts w:ascii="Calibri" w:eastAsia="Calibri" w:hAnsi="Calibri" w:cs="Calibri"/>
          <w:highlight w:val="white"/>
        </w:rPr>
        <w:t>co</w:t>
      </w:r>
      <w:proofErr w:type="spellEnd"/>
      <w:r>
        <w:rPr>
          <w:rFonts w:ascii="Calibri" w:eastAsia="Calibri" w:hAnsi="Calibri" w:cs="Calibri"/>
          <w:highlight w:val="white"/>
        </w:rPr>
        <w:t>-construido.</w:t>
      </w:r>
    </w:p>
    <w:p w:rsidR="00732844" w:rsidRDefault="00C152D7">
      <w:pPr>
        <w:spacing w:after="160"/>
        <w:jc w:val="both"/>
        <w:rPr>
          <w:rFonts w:ascii="Calibri" w:eastAsia="Calibri" w:hAnsi="Calibri" w:cs="Calibri"/>
        </w:rPr>
      </w:pPr>
      <w:r>
        <w:rPr>
          <w:rFonts w:ascii="Calibri" w:eastAsia="Calibri" w:hAnsi="Calibri" w:cs="Calibri"/>
          <w:color w:val="000000"/>
          <w:highlight w:val="white"/>
        </w:rPr>
        <w:t xml:space="preserve">Esta convocatoria busca apoyar técnica y económicamente proyectos bidireccionales que cuenten con la participación de las Carreras de Pregrado, Programas de Postgrado, los Departamentos Académicos (líneas prioritarias), unidades de gestión (en caso de que corresponda) y </w:t>
      </w:r>
      <w:r>
        <w:rPr>
          <w:rFonts w:ascii="Calibri" w:eastAsia="Calibri" w:hAnsi="Calibri" w:cs="Calibri"/>
          <w:highlight w:val="white"/>
        </w:rPr>
        <w:t>actore</w:t>
      </w:r>
      <w:r>
        <w:rPr>
          <w:rFonts w:ascii="Calibri" w:eastAsia="Calibri" w:hAnsi="Calibri" w:cs="Calibri"/>
          <w:color w:val="000000"/>
          <w:highlight w:val="white"/>
        </w:rPr>
        <w:t xml:space="preserve">s </w:t>
      </w:r>
      <w:r>
        <w:rPr>
          <w:rFonts w:ascii="Calibri" w:eastAsia="Calibri" w:hAnsi="Calibri" w:cs="Calibri"/>
          <w:color w:val="000000"/>
          <w:highlight w:val="white"/>
        </w:rPr>
        <w:lastRenderedPageBreak/>
        <w:t xml:space="preserve">territoriales, que apunten hacia la generación de acciones creativas e innovadoras </w:t>
      </w:r>
      <w:r>
        <w:rPr>
          <w:rFonts w:ascii="Calibri" w:eastAsia="Calibri" w:hAnsi="Calibri" w:cs="Calibri"/>
          <w:color w:val="000000"/>
        </w:rPr>
        <w:t xml:space="preserve">en el </w:t>
      </w:r>
      <w:r>
        <w:rPr>
          <w:rFonts w:ascii="Calibri" w:eastAsia="Calibri" w:hAnsi="Calibri" w:cs="Calibri"/>
        </w:rPr>
        <w:t>fortalecimiento de aprendizajes esperados a través de la promoción de espacios de aprendizaje</w:t>
      </w:r>
      <w:r>
        <w:rPr>
          <w:rFonts w:ascii="Calibri" w:eastAsia="Calibri" w:hAnsi="Calibri" w:cs="Calibri"/>
          <w:vertAlign w:val="superscript"/>
        </w:rPr>
        <w:footnoteReference w:id="4"/>
      </w:r>
      <w:r>
        <w:rPr>
          <w:rFonts w:ascii="Calibri" w:eastAsia="Calibri" w:hAnsi="Calibri" w:cs="Calibri"/>
        </w:rPr>
        <w:t xml:space="preserve"> que apoyen la educación formal y/o no formal con pertinencia local, regional y ciudadana, y que consideren la participación activa de la comunidad receptora de dicha iniciativa creativa.  </w:t>
      </w:r>
    </w:p>
    <w:p w:rsidR="00732844" w:rsidRDefault="00C152D7">
      <w:pPr>
        <w:jc w:val="both"/>
        <w:rPr>
          <w:rFonts w:ascii="Calibri" w:eastAsia="Calibri" w:hAnsi="Calibri" w:cs="Calibri"/>
          <w:b/>
          <w:sz w:val="24"/>
          <w:szCs w:val="24"/>
        </w:rPr>
      </w:pPr>
      <w:r>
        <w:rPr>
          <w:rFonts w:ascii="Calibri" w:eastAsia="Calibri" w:hAnsi="Calibri" w:cs="Calibri"/>
          <w:b/>
          <w:sz w:val="24"/>
          <w:szCs w:val="24"/>
        </w:rPr>
        <w:t>Objetivos</w:t>
      </w:r>
    </w:p>
    <w:p w:rsidR="00732844" w:rsidRDefault="00C152D7">
      <w:pPr>
        <w:numPr>
          <w:ilvl w:val="0"/>
          <w:numId w:val="5"/>
        </w:numPr>
        <w:spacing w:before="240"/>
        <w:jc w:val="both"/>
        <w:rPr>
          <w:rFonts w:ascii="Calibri" w:eastAsia="Calibri" w:hAnsi="Calibri" w:cs="Calibri"/>
        </w:rPr>
      </w:pPr>
      <w:r>
        <w:rPr>
          <w:rFonts w:ascii="Calibri" w:eastAsia="Calibri" w:hAnsi="Calibri" w:cs="Calibri"/>
        </w:rPr>
        <w:t xml:space="preserve">Fomentar y potenciar el surgimiento de iniciativas que, desde procesos académicos formativos (asignaturas de pregrado o equivalentes en postgrado), dialoguen con el entorno social, promoviendo nuevas ideas y procesos que contribuyan a la generación de soluciones </w:t>
      </w:r>
      <w:proofErr w:type="spellStart"/>
      <w:r>
        <w:rPr>
          <w:rFonts w:ascii="Calibri" w:eastAsia="Calibri" w:hAnsi="Calibri" w:cs="Calibri"/>
        </w:rPr>
        <w:t>co</w:t>
      </w:r>
      <w:proofErr w:type="spellEnd"/>
      <w:r>
        <w:rPr>
          <w:rFonts w:ascii="Calibri" w:eastAsia="Calibri" w:hAnsi="Calibri" w:cs="Calibri"/>
        </w:rPr>
        <w:t>-construidas a problemas de contingencia regional que fortalezcan los procesos de formación académica de los y las estudiantes.</w:t>
      </w:r>
    </w:p>
    <w:p w:rsidR="00732844" w:rsidRDefault="00C152D7">
      <w:pPr>
        <w:numPr>
          <w:ilvl w:val="0"/>
          <w:numId w:val="5"/>
        </w:numPr>
        <w:spacing w:before="240"/>
        <w:jc w:val="both"/>
        <w:rPr>
          <w:rFonts w:ascii="Calibri" w:eastAsia="Calibri" w:hAnsi="Calibri" w:cs="Calibri"/>
        </w:rPr>
      </w:pPr>
      <w:r>
        <w:rPr>
          <w:rFonts w:ascii="Calibri" w:eastAsia="Calibri" w:hAnsi="Calibri" w:cs="Calibri"/>
        </w:rPr>
        <w:t xml:space="preserve">Ejecutar proyectos de innovación social que impacten efectivamente en los territorios regionales, fomentando el sentido de compromiso, conciencia y responsabilidad frente a los problemas y necesidades de la región de Valparaíso por medio de un enfoque de vinculación con el medio de orden bidireccional. </w:t>
      </w:r>
    </w:p>
    <w:p w:rsidR="00732844" w:rsidRDefault="00C152D7">
      <w:pPr>
        <w:numPr>
          <w:ilvl w:val="0"/>
          <w:numId w:val="5"/>
        </w:numPr>
        <w:spacing w:before="240"/>
        <w:jc w:val="both"/>
        <w:rPr>
          <w:rFonts w:ascii="Calibri" w:eastAsia="Calibri" w:hAnsi="Calibri" w:cs="Calibri"/>
        </w:rPr>
      </w:pPr>
      <w:r>
        <w:rPr>
          <w:rFonts w:ascii="Calibri" w:eastAsia="Calibri" w:hAnsi="Calibri" w:cs="Calibri"/>
        </w:rPr>
        <w:t>Implementar proyectos que apunten al fortalecimiento de vínculos institucionales de trabajo, mediante la activación y/o generación de acuerdos, convenios, y prácticas interdisciplinares para la generación de saberes entre académicos/as, estudiantes, funcionarios y actores del territorio que promuevan la mejora continua y actualización tanto del plan de estudios como del perfil de egreso, así como el fortalecimiento de las organizaciones.</w:t>
      </w:r>
    </w:p>
    <w:p w:rsidR="00732844" w:rsidRDefault="00C152D7">
      <w:pPr>
        <w:spacing w:before="200"/>
        <w:ind w:right="100"/>
        <w:jc w:val="both"/>
        <w:rPr>
          <w:rFonts w:ascii="Calibri" w:eastAsia="Calibri" w:hAnsi="Calibri" w:cs="Calibri"/>
        </w:rPr>
      </w:pPr>
      <w:bookmarkStart w:id="1" w:name="_heading=h.gjdgxs" w:colFirst="0" w:colLast="0"/>
      <w:bookmarkEnd w:id="1"/>
      <w:r>
        <w:rPr>
          <w:rFonts w:ascii="Calibri" w:eastAsia="Calibri" w:hAnsi="Calibri" w:cs="Calibri"/>
        </w:rPr>
        <w:t xml:space="preserve">El total de presupuesto disponible es de </w:t>
      </w:r>
      <w:r>
        <w:rPr>
          <w:rFonts w:ascii="Calibri" w:eastAsia="Calibri" w:hAnsi="Calibri" w:cs="Calibri"/>
          <w:b/>
        </w:rPr>
        <w:t>$6</w:t>
      </w:r>
      <w:r w:rsidR="001A5824">
        <w:rPr>
          <w:rFonts w:ascii="Calibri" w:eastAsia="Calibri" w:hAnsi="Calibri" w:cs="Calibri"/>
          <w:b/>
        </w:rPr>
        <w:t>3</w:t>
      </w:r>
      <w:r>
        <w:rPr>
          <w:rFonts w:ascii="Calibri" w:eastAsia="Calibri" w:hAnsi="Calibri" w:cs="Calibri"/>
          <w:b/>
        </w:rPr>
        <w:t>.600.000.-</w:t>
      </w:r>
      <w:r>
        <w:rPr>
          <w:rFonts w:ascii="Calibri" w:eastAsia="Calibri" w:hAnsi="Calibri" w:cs="Calibri"/>
        </w:rPr>
        <w:t xml:space="preserve"> (sesenta y </w:t>
      </w:r>
      <w:r w:rsidR="001A5824">
        <w:rPr>
          <w:rFonts w:ascii="Calibri" w:eastAsia="Calibri" w:hAnsi="Calibri" w:cs="Calibri"/>
        </w:rPr>
        <w:t>tres</w:t>
      </w:r>
      <w:r>
        <w:rPr>
          <w:rFonts w:ascii="Calibri" w:eastAsia="Calibri" w:hAnsi="Calibri" w:cs="Calibri"/>
        </w:rPr>
        <w:t xml:space="preserve"> millones seiscientos mil pesos IVA incluido) para financiar 16 proyectos, de ellos 12 con montos máximos de </w:t>
      </w:r>
      <w:r>
        <w:rPr>
          <w:rFonts w:ascii="Calibri" w:eastAsia="Calibri" w:hAnsi="Calibri" w:cs="Calibri"/>
          <w:b/>
        </w:rPr>
        <w:t>$4.300.000.-</w:t>
      </w:r>
      <w:r>
        <w:rPr>
          <w:rFonts w:ascii="Calibri" w:eastAsia="Calibri" w:hAnsi="Calibri" w:cs="Calibri"/>
        </w:rPr>
        <w:t xml:space="preserve"> (cuatro millones trescientos mil pesos IVA incluido) y 4 proyectos con un máximo de </w:t>
      </w:r>
      <w:r>
        <w:rPr>
          <w:rFonts w:ascii="Calibri" w:eastAsia="Calibri" w:hAnsi="Calibri" w:cs="Calibri"/>
          <w:b/>
        </w:rPr>
        <w:t>$3.000.000.-</w:t>
      </w:r>
      <w:r>
        <w:rPr>
          <w:rFonts w:ascii="Calibri" w:eastAsia="Calibri" w:hAnsi="Calibri" w:cs="Calibri"/>
        </w:rPr>
        <w:t xml:space="preserve"> (tres millones de pesos IVA incluido), dependiendo la modalidad a la que se postule.  </w:t>
      </w:r>
    </w:p>
    <w:p w:rsidR="00732844" w:rsidRDefault="00C152D7">
      <w:pPr>
        <w:spacing w:before="240"/>
        <w:jc w:val="both"/>
        <w:rPr>
          <w:rFonts w:ascii="Calibri" w:eastAsia="Calibri" w:hAnsi="Calibri" w:cs="Calibri"/>
          <w:b/>
          <w:sz w:val="24"/>
          <w:szCs w:val="24"/>
        </w:rPr>
      </w:pPr>
      <w:r>
        <w:rPr>
          <w:rFonts w:ascii="Calibri" w:eastAsia="Calibri" w:hAnsi="Calibri" w:cs="Calibri"/>
          <w:b/>
          <w:sz w:val="24"/>
          <w:szCs w:val="24"/>
        </w:rPr>
        <w:t>Requisitos</w:t>
      </w:r>
    </w:p>
    <w:p w:rsidR="00732844" w:rsidRDefault="00C152D7">
      <w:pPr>
        <w:spacing w:before="240"/>
        <w:jc w:val="both"/>
        <w:rPr>
          <w:rFonts w:ascii="Calibri" w:eastAsia="Calibri" w:hAnsi="Calibri" w:cs="Calibri"/>
          <w:highlight w:val="white"/>
        </w:rPr>
      </w:pPr>
      <w:r>
        <w:rPr>
          <w:rFonts w:ascii="Calibri" w:eastAsia="Calibri" w:hAnsi="Calibri" w:cs="Calibri"/>
        </w:rPr>
        <w:t>Se financiarán hasta un máximo de 16 proyectos que c</w:t>
      </w:r>
      <w:r>
        <w:rPr>
          <w:rFonts w:ascii="Calibri" w:eastAsia="Calibri" w:hAnsi="Calibri" w:cs="Calibri"/>
          <w:highlight w:val="white"/>
        </w:rPr>
        <w:t xml:space="preserve">umplan con los siguientes </w:t>
      </w:r>
      <w:r>
        <w:rPr>
          <w:rFonts w:ascii="Calibri" w:eastAsia="Calibri" w:hAnsi="Calibri" w:cs="Calibri"/>
          <w:b/>
          <w:highlight w:val="white"/>
        </w:rPr>
        <w:t>requisitos</w:t>
      </w:r>
      <w:r>
        <w:rPr>
          <w:rFonts w:ascii="Calibri" w:eastAsia="Calibri" w:hAnsi="Calibri" w:cs="Calibri"/>
          <w:highlight w:val="white"/>
        </w:rPr>
        <w:t>:</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Formalizar la postulación mediante el formulario presentación Fondo Social CreaLab-2025 (Anexo 1) adjuntando toda la documentación requerida en los formatos establecidos.</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 xml:space="preserve">Desarrollar el proyecto con al menos una organización social, agrupación o actor territorial relevante de la región de Valparaíso, cuya formalización de participación será a través de la </w:t>
      </w:r>
      <w:r>
        <w:rPr>
          <w:rFonts w:ascii="Calibri" w:eastAsia="Calibri" w:hAnsi="Calibri" w:cs="Calibri"/>
        </w:rPr>
        <w:lastRenderedPageBreak/>
        <w:t>Carta de apoyo en donde se debe dar cuenta de la existencia de un nexo previo</w:t>
      </w:r>
      <w:r>
        <w:rPr>
          <w:rFonts w:ascii="Calibri" w:eastAsia="Calibri" w:hAnsi="Calibri" w:cs="Calibri"/>
          <w:vertAlign w:val="superscript"/>
        </w:rPr>
        <w:footnoteReference w:id="5"/>
      </w:r>
      <w:r>
        <w:rPr>
          <w:rFonts w:ascii="Calibri" w:eastAsia="Calibri" w:hAnsi="Calibri" w:cs="Calibri"/>
        </w:rPr>
        <w:t xml:space="preserve"> de al menos 1 año (Anexo 3).</w:t>
      </w:r>
      <w:r>
        <w:rPr>
          <w:rFonts w:ascii="Calibri" w:eastAsia="Calibri" w:hAnsi="Calibri" w:cs="Calibri"/>
          <w:vertAlign w:val="superscript"/>
        </w:rPr>
        <w:footnoteReference w:id="6"/>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 xml:space="preserve">Contar con un/a responsable de proyecto, quien deberá ser el/la académico/a de la Universidad de Playa Ancha responsable de la postulación al fondo y quien deberá solicitar la carta de patrocinio para los integrantes del equipo firmada por Directores/as de Departamento, Carrera, Decanaturas y jefatura de unidad de gestión involucradas (esta última en el caso de que corresponda) (Anexo 4). Quienes tengan el rol de responsable y corresponsable deben tener una situación contractual de planta o contrata. </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 xml:space="preserve">El o la responsable de proyecto deberá postular con un/a </w:t>
      </w:r>
      <w:proofErr w:type="spellStart"/>
      <w:r>
        <w:rPr>
          <w:rFonts w:ascii="Calibri" w:eastAsia="Calibri" w:hAnsi="Calibri" w:cs="Calibri"/>
        </w:rPr>
        <w:t>co</w:t>
      </w:r>
      <w:proofErr w:type="spellEnd"/>
      <w:r>
        <w:rPr>
          <w:rFonts w:ascii="Calibri" w:eastAsia="Calibri" w:hAnsi="Calibri" w:cs="Calibri"/>
        </w:rPr>
        <w:t>-responsable, que deberá ser su reemplazante ante la DGVM en caso de  ausencia por motivos de fuerza mayor.</w:t>
      </w:r>
      <w:r>
        <w:rPr>
          <w:rFonts w:ascii="Calibri" w:eastAsia="Calibri" w:hAnsi="Calibri" w:cs="Calibri"/>
          <w:vertAlign w:val="superscript"/>
        </w:rPr>
        <w:footnoteReference w:id="7"/>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 xml:space="preserve">Conformar equipos interdisciplinarios que den cuenta del trabajo conjunto entre al menos dos carreras en el desarrollo del proyecto. El máximo de académicos/as participantes será de </w:t>
      </w:r>
      <w:r w:rsidR="002D2D9E">
        <w:rPr>
          <w:rFonts w:ascii="Calibri" w:eastAsia="Calibri" w:hAnsi="Calibri" w:cs="Calibri"/>
          <w:b/>
        </w:rPr>
        <w:t>2</w:t>
      </w:r>
      <w:bookmarkStart w:id="2" w:name="_GoBack"/>
      <w:bookmarkEnd w:id="2"/>
      <w:r>
        <w:rPr>
          <w:rFonts w:ascii="Calibri" w:eastAsia="Calibri" w:hAnsi="Calibri" w:cs="Calibri"/>
        </w:rPr>
        <w:t xml:space="preserve"> en el caso de los proyectos </w:t>
      </w:r>
      <w:r>
        <w:rPr>
          <w:rFonts w:ascii="Calibri" w:eastAsia="Calibri" w:hAnsi="Calibri" w:cs="Calibri"/>
          <w:b/>
        </w:rPr>
        <w:t xml:space="preserve">consolidados </w:t>
      </w:r>
      <w:r>
        <w:rPr>
          <w:rFonts w:ascii="Calibri" w:eastAsia="Calibri" w:hAnsi="Calibri" w:cs="Calibri"/>
        </w:rPr>
        <w:t xml:space="preserve">y de </w:t>
      </w:r>
      <w:r>
        <w:rPr>
          <w:rFonts w:ascii="Calibri" w:eastAsia="Calibri" w:hAnsi="Calibri" w:cs="Calibri"/>
          <w:b/>
        </w:rPr>
        <w:t>2</w:t>
      </w:r>
      <w:r>
        <w:rPr>
          <w:rFonts w:ascii="Calibri" w:eastAsia="Calibri" w:hAnsi="Calibri" w:cs="Calibri"/>
        </w:rPr>
        <w:t xml:space="preserve"> en el caso de los </w:t>
      </w:r>
      <w:r>
        <w:rPr>
          <w:rFonts w:ascii="Calibri" w:eastAsia="Calibri" w:hAnsi="Calibri" w:cs="Calibri"/>
          <w:b/>
        </w:rPr>
        <w:t>iniciales</w:t>
      </w:r>
      <w:r>
        <w:rPr>
          <w:rFonts w:ascii="Calibri" w:eastAsia="Calibri" w:hAnsi="Calibri" w:cs="Calibri"/>
        </w:rPr>
        <w:t xml:space="preserve">. Cada académico/a dispondrá de un máximo de 6 </w:t>
      </w:r>
      <w:proofErr w:type="spellStart"/>
      <w:r>
        <w:rPr>
          <w:rFonts w:ascii="Calibri" w:eastAsia="Calibri" w:hAnsi="Calibri" w:cs="Calibri"/>
        </w:rPr>
        <w:t>hrs</w:t>
      </w:r>
      <w:proofErr w:type="spellEnd"/>
      <w:r>
        <w:rPr>
          <w:rFonts w:ascii="Calibri" w:eastAsia="Calibri" w:hAnsi="Calibri" w:cs="Calibri"/>
        </w:rPr>
        <w:t xml:space="preserve"> de asignación en su carga académica</w:t>
      </w:r>
      <w:r>
        <w:rPr>
          <w:rFonts w:ascii="Calibri" w:eastAsia="Calibri" w:hAnsi="Calibri" w:cs="Calibri"/>
          <w:vertAlign w:val="superscript"/>
        </w:rPr>
        <w:footnoteReference w:id="8"/>
      </w:r>
      <w:r>
        <w:rPr>
          <w:rFonts w:ascii="Calibri" w:eastAsia="Calibri" w:hAnsi="Calibri" w:cs="Calibri"/>
        </w:rPr>
        <w:t xml:space="preserve"> por su participación en el proyecto (3 </w:t>
      </w:r>
      <w:proofErr w:type="spellStart"/>
      <w:r>
        <w:rPr>
          <w:rFonts w:ascii="Calibri" w:eastAsia="Calibri" w:hAnsi="Calibri" w:cs="Calibri"/>
        </w:rPr>
        <w:t>hrs</w:t>
      </w:r>
      <w:proofErr w:type="spellEnd"/>
      <w:r>
        <w:rPr>
          <w:rFonts w:ascii="Calibri" w:eastAsia="Calibri" w:hAnsi="Calibri" w:cs="Calibri"/>
        </w:rPr>
        <w:t xml:space="preserve"> directas + 3 </w:t>
      </w:r>
      <w:proofErr w:type="spellStart"/>
      <w:r>
        <w:rPr>
          <w:rFonts w:ascii="Calibri" w:eastAsia="Calibri" w:hAnsi="Calibri" w:cs="Calibri"/>
        </w:rPr>
        <w:t>hrs</w:t>
      </w:r>
      <w:proofErr w:type="spellEnd"/>
      <w:r>
        <w:rPr>
          <w:rFonts w:ascii="Calibri" w:eastAsia="Calibri" w:hAnsi="Calibri" w:cs="Calibri"/>
        </w:rPr>
        <w:t xml:space="preserve"> indirectas). El máximo de funcionarios participantes será de 1 por proyecto, y podrá participar siempre y cuando cuente con la autorización de su jefatura. </w:t>
      </w:r>
      <w:r w:rsidR="0002072E">
        <w:rPr>
          <w:rFonts w:ascii="Calibri" w:eastAsia="Calibri" w:hAnsi="Calibri" w:cs="Calibri"/>
        </w:rPr>
        <w:t xml:space="preserve">Las y los funcionarios dispondrán 3 horas de su jornada laboral para la ejecución. </w:t>
      </w:r>
    </w:p>
    <w:p w:rsidR="00732844" w:rsidRDefault="00C152D7">
      <w:pPr>
        <w:numPr>
          <w:ilvl w:val="0"/>
          <w:numId w:val="11"/>
        </w:numPr>
        <w:spacing w:before="240"/>
        <w:ind w:left="709"/>
        <w:jc w:val="both"/>
        <w:rPr>
          <w:rFonts w:ascii="Calibri" w:eastAsia="Calibri" w:hAnsi="Calibri" w:cs="Calibri"/>
        </w:rPr>
      </w:pPr>
      <w:bookmarkStart w:id="3" w:name="_heading=h.2et92p0" w:colFirst="0" w:colLast="0"/>
      <w:bookmarkEnd w:id="3"/>
      <w:r>
        <w:rPr>
          <w:rFonts w:ascii="Calibri" w:eastAsia="Calibri" w:hAnsi="Calibri" w:cs="Calibri"/>
        </w:rPr>
        <w:t xml:space="preserve">Podrán incluir (sin restricción en número) en el equipo del proyecto a académicas/os colaboradoras/es, para realizar apoyo en tareas puntuales (por ejemplo, relatores de un taller específico), no obstante, no tendrán horas asignadas en su carga académica por su participación. Una vez que la actividad sea registrada en SINTE </w:t>
      </w:r>
      <w:proofErr w:type="spellStart"/>
      <w:r>
        <w:rPr>
          <w:rFonts w:ascii="Calibri" w:eastAsia="Calibri" w:hAnsi="Calibri" w:cs="Calibri"/>
        </w:rPr>
        <w:t>VcM</w:t>
      </w:r>
      <w:proofErr w:type="spellEnd"/>
      <w:r>
        <w:rPr>
          <w:rFonts w:ascii="Calibri" w:eastAsia="Calibri" w:hAnsi="Calibri" w:cs="Calibri"/>
        </w:rPr>
        <w:t xml:space="preserve"> se podrá solicitar la constancia correspondiente a través de los mecanismos dispuestos por la DGVM. </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 xml:space="preserve">El desarrollo de los proyectos debe estar coherentemente articulado con asignaturas de las carreras involucradas en la iniciativa y con las líneas prioritarias de los Departamentos. </w:t>
      </w:r>
      <w:r>
        <w:rPr>
          <w:rFonts w:ascii="Calibri" w:eastAsia="Calibri" w:hAnsi="Calibri" w:cs="Calibri"/>
          <w:b/>
        </w:rPr>
        <w:t>El proyecto deberá estar asociado a procesos formativos</w:t>
      </w:r>
      <w:r>
        <w:rPr>
          <w:rFonts w:ascii="Calibri" w:eastAsia="Calibri" w:hAnsi="Calibri" w:cs="Calibri"/>
        </w:rPr>
        <w:t xml:space="preserve">, tales como: asignaturas (se debe </w:t>
      </w:r>
      <w:r>
        <w:rPr>
          <w:rFonts w:ascii="Calibri" w:eastAsia="Calibri" w:hAnsi="Calibri" w:cs="Calibri"/>
        </w:rPr>
        <w:lastRenderedPageBreak/>
        <w:t>precisar nombre y código de la asignatura o equivalentes en postgrado), proyecto de titulación, síntesis profesional y/o asignaturas sello.</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 xml:space="preserve">El desarrollo de los proyectos del fondo consolidado debe conducir a una publicación en revista indexada, libro o capítulo de libro con comité editorial. La temática puede contener la sistematización de la experiencia, contribuciones, hallazgos o resultados. </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La ejecución del proyecto deberá realizarse en alguna comunidad o territorio de la Región de Valparaíso.</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 xml:space="preserve">Los proyectos 2025 deberán ser desarrollados de manera presencial, siempre y cuando las condiciones sanitarias lo permitan.  </w:t>
      </w:r>
    </w:p>
    <w:p w:rsidR="00732844" w:rsidRDefault="00C152D7">
      <w:pPr>
        <w:numPr>
          <w:ilvl w:val="0"/>
          <w:numId w:val="11"/>
        </w:numPr>
        <w:spacing w:before="240"/>
        <w:ind w:left="709"/>
        <w:jc w:val="both"/>
        <w:rPr>
          <w:rFonts w:ascii="Calibri" w:eastAsia="Calibri" w:hAnsi="Calibri" w:cs="Calibri"/>
        </w:rPr>
      </w:pPr>
      <w:r>
        <w:rPr>
          <w:rFonts w:ascii="Calibri" w:eastAsia="Calibri" w:hAnsi="Calibri" w:cs="Calibri"/>
        </w:rPr>
        <w:t>Todo proyecto debe tener en consideración los protocolos éticos necesarios para el resguardo de los y las participantes en las iniciativas. Para esto, deberán hacer envío del formulario de solicitud de evaluación del Comité Ético Científico</w:t>
      </w:r>
      <w:r>
        <w:rPr>
          <w:rFonts w:ascii="Calibri" w:eastAsia="Calibri" w:hAnsi="Calibri" w:cs="Calibri"/>
          <w:vertAlign w:val="superscript"/>
        </w:rPr>
        <w:footnoteReference w:id="9"/>
      </w:r>
      <w:r>
        <w:rPr>
          <w:rFonts w:ascii="Calibri" w:eastAsia="Calibri" w:hAnsi="Calibri" w:cs="Calibri"/>
        </w:rPr>
        <w:t>.</w:t>
      </w:r>
    </w:p>
    <w:p w:rsidR="00732844" w:rsidRDefault="00C152D7">
      <w:pPr>
        <w:numPr>
          <w:ilvl w:val="0"/>
          <w:numId w:val="9"/>
        </w:numPr>
        <w:spacing w:before="240" w:after="240"/>
        <w:jc w:val="both"/>
        <w:rPr>
          <w:rFonts w:ascii="Calibri" w:eastAsia="Calibri" w:hAnsi="Calibri" w:cs="Calibri"/>
          <w:b/>
          <w:color w:val="202124"/>
          <w:sz w:val="24"/>
          <w:szCs w:val="24"/>
        </w:rPr>
      </w:pPr>
      <w:r>
        <w:rPr>
          <w:rFonts w:ascii="Calibri" w:eastAsia="Calibri" w:hAnsi="Calibri" w:cs="Calibri"/>
          <w:b/>
          <w:color w:val="202124"/>
          <w:sz w:val="24"/>
          <w:szCs w:val="24"/>
        </w:rPr>
        <w:t>Plazo de ejecución y financiamiento</w:t>
      </w:r>
    </w:p>
    <w:p w:rsidR="00732844" w:rsidRDefault="00C152D7">
      <w:pPr>
        <w:spacing w:after="205" w:line="240" w:lineRule="auto"/>
        <w:ind w:right="-6"/>
        <w:jc w:val="both"/>
        <w:rPr>
          <w:rFonts w:ascii="Calibri" w:eastAsia="Calibri" w:hAnsi="Calibri" w:cs="Calibri"/>
          <w:highlight w:val="white"/>
        </w:rPr>
      </w:pPr>
      <w:r>
        <w:rPr>
          <w:rFonts w:ascii="Calibri" w:eastAsia="Calibri" w:hAnsi="Calibri" w:cs="Calibri"/>
          <w:highlight w:val="white"/>
        </w:rPr>
        <w:t>La ejecución será durante el año 2025, contemplando el primer y segundo semestre y durando en total 10 meses, en los que se debe considerar las siguientes etapas:</w:t>
      </w:r>
    </w:p>
    <w:tbl>
      <w:tblPr>
        <w:tblStyle w:val="a5"/>
        <w:tblW w:w="8865"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540"/>
        <w:gridCol w:w="555"/>
        <w:gridCol w:w="540"/>
        <w:gridCol w:w="555"/>
        <w:gridCol w:w="540"/>
        <w:gridCol w:w="570"/>
        <w:gridCol w:w="555"/>
        <w:gridCol w:w="540"/>
        <w:gridCol w:w="585"/>
        <w:gridCol w:w="615"/>
      </w:tblGrid>
      <w:tr w:rsidR="00732844">
        <w:tc>
          <w:tcPr>
            <w:tcW w:w="3270" w:type="dxa"/>
          </w:tcPr>
          <w:p w:rsidR="00732844" w:rsidRDefault="00C152D7">
            <w:pPr>
              <w:spacing w:before="240"/>
              <w:rPr>
                <w:sz w:val="14"/>
                <w:szCs w:val="14"/>
              </w:rPr>
            </w:pPr>
            <w:r>
              <w:rPr>
                <w:sz w:val="16"/>
                <w:szCs w:val="16"/>
              </w:rPr>
              <w:t>Etapas</w:t>
            </w:r>
          </w:p>
        </w:tc>
        <w:tc>
          <w:tcPr>
            <w:tcW w:w="540" w:type="dxa"/>
            <w:vAlign w:val="center"/>
          </w:tcPr>
          <w:p w:rsidR="00732844" w:rsidRDefault="00C152D7">
            <w:pPr>
              <w:spacing w:before="240"/>
              <w:jc w:val="center"/>
              <w:rPr>
                <w:sz w:val="14"/>
                <w:szCs w:val="14"/>
              </w:rPr>
            </w:pPr>
            <w:r>
              <w:rPr>
                <w:sz w:val="14"/>
                <w:szCs w:val="14"/>
              </w:rPr>
              <w:t>Mes 1</w:t>
            </w:r>
          </w:p>
        </w:tc>
        <w:tc>
          <w:tcPr>
            <w:tcW w:w="555" w:type="dxa"/>
            <w:vAlign w:val="center"/>
          </w:tcPr>
          <w:p w:rsidR="00732844" w:rsidRDefault="00C152D7">
            <w:pPr>
              <w:spacing w:before="240"/>
              <w:jc w:val="center"/>
              <w:rPr>
                <w:sz w:val="14"/>
                <w:szCs w:val="14"/>
              </w:rPr>
            </w:pPr>
            <w:r>
              <w:rPr>
                <w:sz w:val="14"/>
                <w:szCs w:val="14"/>
              </w:rPr>
              <w:t>Mes 2</w:t>
            </w:r>
          </w:p>
        </w:tc>
        <w:tc>
          <w:tcPr>
            <w:tcW w:w="540" w:type="dxa"/>
            <w:vAlign w:val="center"/>
          </w:tcPr>
          <w:p w:rsidR="00732844" w:rsidRDefault="00C152D7">
            <w:pPr>
              <w:spacing w:before="240"/>
              <w:jc w:val="center"/>
              <w:rPr>
                <w:sz w:val="14"/>
                <w:szCs w:val="14"/>
              </w:rPr>
            </w:pPr>
            <w:r>
              <w:rPr>
                <w:sz w:val="14"/>
                <w:szCs w:val="14"/>
              </w:rPr>
              <w:t>Mes 3</w:t>
            </w:r>
          </w:p>
        </w:tc>
        <w:tc>
          <w:tcPr>
            <w:tcW w:w="555" w:type="dxa"/>
            <w:vAlign w:val="center"/>
          </w:tcPr>
          <w:p w:rsidR="00732844" w:rsidRDefault="00C152D7">
            <w:pPr>
              <w:spacing w:before="240"/>
              <w:jc w:val="center"/>
              <w:rPr>
                <w:sz w:val="14"/>
                <w:szCs w:val="14"/>
              </w:rPr>
            </w:pPr>
            <w:r>
              <w:rPr>
                <w:sz w:val="14"/>
                <w:szCs w:val="14"/>
              </w:rPr>
              <w:t>Mes 4</w:t>
            </w:r>
          </w:p>
        </w:tc>
        <w:tc>
          <w:tcPr>
            <w:tcW w:w="540" w:type="dxa"/>
            <w:vAlign w:val="center"/>
          </w:tcPr>
          <w:p w:rsidR="00732844" w:rsidRDefault="00C152D7">
            <w:pPr>
              <w:spacing w:before="240"/>
              <w:jc w:val="center"/>
              <w:rPr>
                <w:sz w:val="14"/>
                <w:szCs w:val="14"/>
              </w:rPr>
            </w:pPr>
            <w:r>
              <w:rPr>
                <w:sz w:val="14"/>
                <w:szCs w:val="14"/>
              </w:rPr>
              <w:t>Mes 5</w:t>
            </w:r>
          </w:p>
        </w:tc>
        <w:tc>
          <w:tcPr>
            <w:tcW w:w="570" w:type="dxa"/>
            <w:vAlign w:val="center"/>
          </w:tcPr>
          <w:p w:rsidR="00732844" w:rsidRDefault="00C152D7">
            <w:pPr>
              <w:spacing w:before="240"/>
              <w:jc w:val="center"/>
              <w:rPr>
                <w:sz w:val="14"/>
                <w:szCs w:val="14"/>
              </w:rPr>
            </w:pPr>
            <w:r>
              <w:rPr>
                <w:sz w:val="14"/>
                <w:szCs w:val="14"/>
              </w:rPr>
              <w:t>Mes 6</w:t>
            </w:r>
          </w:p>
        </w:tc>
        <w:tc>
          <w:tcPr>
            <w:tcW w:w="555" w:type="dxa"/>
            <w:vAlign w:val="center"/>
          </w:tcPr>
          <w:p w:rsidR="00732844" w:rsidRDefault="00C152D7">
            <w:pPr>
              <w:spacing w:before="240"/>
              <w:jc w:val="center"/>
              <w:rPr>
                <w:sz w:val="14"/>
                <w:szCs w:val="14"/>
              </w:rPr>
            </w:pPr>
            <w:r>
              <w:rPr>
                <w:sz w:val="14"/>
                <w:szCs w:val="14"/>
              </w:rPr>
              <w:t>Mes 7</w:t>
            </w:r>
          </w:p>
        </w:tc>
        <w:tc>
          <w:tcPr>
            <w:tcW w:w="540" w:type="dxa"/>
            <w:vAlign w:val="center"/>
          </w:tcPr>
          <w:p w:rsidR="00732844" w:rsidRDefault="00C152D7">
            <w:pPr>
              <w:spacing w:before="240"/>
              <w:jc w:val="center"/>
              <w:rPr>
                <w:sz w:val="14"/>
                <w:szCs w:val="14"/>
              </w:rPr>
            </w:pPr>
            <w:r>
              <w:rPr>
                <w:sz w:val="14"/>
                <w:szCs w:val="14"/>
              </w:rPr>
              <w:t>Mes 8</w:t>
            </w:r>
          </w:p>
        </w:tc>
        <w:tc>
          <w:tcPr>
            <w:tcW w:w="585" w:type="dxa"/>
            <w:vAlign w:val="center"/>
          </w:tcPr>
          <w:p w:rsidR="00732844" w:rsidRDefault="00C152D7">
            <w:pPr>
              <w:spacing w:before="240"/>
              <w:jc w:val="center"/>
              <w:rPr>
                <w:sz w:val="14"/>
                <w:szCs w:val="14"/>
              </w:rPr>
            </w:pPr>
            <w:r>
              <w:rPr>
                <w:sz w:val="14"/>
                <w:szCs w:val="14"/>
              </w:rPr>
              <w:t>Mes 9</w:t>
            </w:r>
          </w:p>
        </w:tc>
        <w:tc>
          <w:tcPr>
            <w:tcW w:w="615" w:type="dxa"/>
          </w:tcPr>
          <w:p w:rsidR="00732844" w:rsidRDefault="00C152D7">
            <w:pPr>
              <w:spacing w:before="240"/>
              <w:jc w:val="center"/>
              <w:rPr>
                <w:sz w:val="14"/>
                <w:szCs w:val="14"/>
              </w:rPr>
            </w:pPr>
            <w:r>
              <w:rPr>
                <w:sz w:val="14"/>
                <w:szCs w:val="14"/>
              </w:rPr>
              <w:t>Mes 10</w:t>
            </w:r>
          </w:p>
        </w:tc>
      </w:tr>
      <w:tr w:rsidR="00732844">
        <w:tc>
          <w:tcPr>
            <w:tcW w:w="3270" w:type="dxa"/>
          </w:tcPr>
          <w:p w:rsidR="00732844" w:rsidRDefault="00C152D7">
            <w:pPr>
              <w:spacing w:before="240"/>
              <w:rPr>
                <w:sz w:val="16"/>
                <w:szCs w:val="16"/>
              </w:rPr>
            </w:pPr>
            <w:r>
              <w:rPr>
                <w:sz w:val="16"/>
                <w:szCs w:val="16"/>
              </w:rPr>
              <w:t>Jornada de bienvenida y capacitación inicial</w:t>
            </w:r>
          </w:p>
        </w:tc>
        <w:tc>
          <w:tcPr>
            <w:tcW w:w="540" w:type="dxa"/>
            <w:shd w:val="clear" w:color="auto" w:fill="DEEBF6"/>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7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85" w:type="dxa"/>
          </w:tcPr>
          <w:p w:rsidR="00732844" w:rsidRDefault="00732844">
            <w:pPr>
              <w:spacing w:before="240"/>
              <w:rPr>
                <w:sz w:val="16"/>
                <w:szCs w:val="16"/>
              </w:rPr>
            </w:pPr>
          </w:p>
        </w:tc>
        <w:tc>
          <w:tcPr>
            <w:tcW w:w="615" w:type="dxa"/>
          </w:tcPr>
          <w:p w:rsidR="00732844" w:rsidRDefault="00732844">
            <w:pPr>
              <w:spacing w:before="240"/>
              <w:rPr>
                <w:sz w:val="16"/>
                <w:szCs w:val="16"/>
              </w:rPr>
            </w:pPr>
          </w:p>
        </w:tc>
      </w:tr>
      <w:tr w:rsidR="00732844">
        <w:tc>
          <w:tcPr>
            <w:tcW w:w="3270" w:type="dxa"/>
          </w:tcPr>
          <w:p w:rsidR="00732844" w:rsidRDefault="00C152D7">
            <w:pPr>
              <w:spacing w:before="240"/>
              <w:rPr>
                <w:sz w:val="16"/>
                <w:szCs w:val="16"/>
              </w:rPr>
            </w:pPr>
            <w:r>
              <w:rPr>
                <w:sz w:val="16"/>
                <w:szCs w:val="16"/>
              </w:rPr>
              <w:t>Ejecución del proyecto</w:t>
            </w:r>
            <w:r>
              <w:rPr>
                <w:sz w:val="16"/>
                <w:szCs w:val="16"/>
                <w:vertAlign w:val="superscript"/>
              </w:rPr>
              <w:footnoteReference w:id="10"/>
            </w:r>
          </w:p>
        </w:tc>
        <w:tc>
          <w:tcPr>
            <w:tcW w:w="540" w:type="dxa"/>
            <w:shd w:val="clear" w:color="auto" w:fill="DEEBF6"/>
          </w:tcPr>
          <w:p w:rsidR="00732844" w:rsidRDefault="00732844">
            <w:pPr>
              <w:spacing w:before="240"/>
              <w:rPr>
                <w:sz w:val="16"/>
                <w:szCs w:val="16"/>
              </w:rPr>
            </w:pPr>
          </w:p>
        </w:tc>
        <w:tc>
          <w:tcPr>
            <w:tcW w:w="555" w:type="dxa"/>
            <w:shd w:val="clear" w:color="auto" w:fill="DEEBF6"/>
          </w:tcPr>
          <w:p w:rsidR="00732844" w:rsidRDefault="00732844">
            <w:pPr>
              <w:spacing w:before="240"/>
              <w:rPr>
                <w:sz w:val="16"/>
                <w:szCs w:val="16"/>
              </w:rPr>
            </w:pPr>
          </w:p>
        </w:tc>
        <w:tc>
          <w:tcPr>
            <w:tcW w:w="540" w:type="dxa"/>
            <w:shd w:val="clear" w:color="auto" w:fill="DEEBF6"/>
          </w:tcPr>
          <w:p w:rsidR="00732844" w:rsidRDefault="00732844">
            <w:pPr>
              <w:spacing w:before="240"/>
              <w:rPr>
                <w:sz w:val="16"/>
                <w:szCs w:val="16"/>
              </w:rPr>
            </w:pPr>
          </w:p>
        </w:tc>
        <w:tc>
          <w:tcPr>
            <w:tcW w:w="555" w:type="dxa"/>
            <w:shd w:val="clear" w:color="auto" w:fill="DEEBF6"/>
          </w:tcPr>
          <w:p w:rsidR="00732844" w:rsidRDefault="00732844">
            <w:pPr>
              <w:spacing w:before="240"/>
              <w:rPr>
                <w:sz w:val="16"/>
                <w:szCs w:val="16"/>
              </w:rPr>
            </w:pPr>
          </w:p>
        </w:tc>
        <w:tc>
          <w:tcPr>
            <w:tcW w:w="540" w:type="dxa"/>
            <w:shd w:val="clear" w:color="auto" w:fill="DEEBF6"/>
          </w:tcPr>
          <w:p w:rsidR="00732844" w:rsidRDefault="00732844">
            <w:pPr>
              <w:spacing w:before="240"/>
              <w:rPr>
                <w:sz w:val="16"/>
                <w:szCs w:val="16"/>
              </w:rPr>
            </w:pPr>
          </w:p>
        </w:tc>
        <w:tc>
          <w:tcPr>
            <w:tcW w:w="570" w:type="dxa"/>
            <w:shd w:val="clear" w:color="auto" w:fill="DEEBF6"/>
          </w:tcPr>
          <w:p w:rsidR="00732844" w:rsidRDefault="00732844">
            <w:pPr>
              <w:spacing w:before="240"/>
              <w:rPr>
                <w:sz w:val="16"/>
                <w:szCs w:val="16"/>
              </w:rPr>
            </w:pPr>
          </w:p>
        </w:tc>
        <w:tc>
          <w:tcPr>
            <w:tcW w:w="555" w:type="dxa"/>
            <w:shd w:val="clear" w:color="auto" w:fill="DEEBF6"/>
          </w:tcPr>
          <w:p w:rsidR="00732844" w:rsidRDefault="00732844">
            <w:pPr>
              <w:spacing w:before="240"/>
              <w:rPr>
                <w:sz w:val="16"/>
                <w:szCs w:val="16"/>
              </w:rPr>
            </w:pPr>
          </w:p>
        </w:tc>
        <w:tc>
          <w:tcPr>
            <w:tcW w:w="540" w:type="dxa"/>
            <w:shd w:val="clear" w:color="auto" w:fill="DEEBF6"/>
          </w:tcPr>
          <w:p w:rsidR="00732844" w:rsidRDefault="00732844">
            <w:pPr>
              <w:spacing w:before="240"/>
              <w:rPr>
                <w:sz w:val="16"/>
                <w:szCs w:val="16"/>
              </w:rPr>
            </w:pPr>
          </w:p>
        </w:tc>
        <w:tc>
          <w:tcPr>
            <w:tcW w:w="585" w:type="dxa"/>
            <w:shd w:val="clear" w:color="auto" w:fill="DEEBF6"/>
          </w:tcPr>
          <w:p w:rsidR="00732844" w:rsidRDefault="00732844">
            <w:pPr>
              <w:spacing w:before="240"/>
              <w:rPr>
                <w:sz w:val="16"/>
                <w:szCs w:val="16"/>
              </w:rPr>
            </w:pPr>
          </w:p>
        </w:tc>
        <w:tc>
          <w:tcPr>
            <w:tcW w:w="615" w:type="dxa"/>
            <w:shd w:val="clear" w:color="auto" w:fill="DEEBF6"/>
          </w:tcPr>
          <w:p w:rsidR="00732844" w:rsidRDefault="00732844">
            <w:pPr>
              <w:spacing w:before="240"/>
              <w:rPr>
                <w:sz w:val="16"/>
                <w:szCs w:val="16"/>
              </w:rPr>
            </w:pPr>
          </w:p>
        </w:tc>
      </w:tr>
      <w:tr w:rsidR="00732844">
        <w:tc>
          <w:tcPr>
            <w:tcW w:w="3270" w:type="dxa"/>
          </w:tcPr>
          <w:p w:rsidR="00732844" w:rsidRDefault="00C152D7">
            <w:pPr>
              <w:spacing w:before="240"/>
              <w:rPr>
                <w:sz w:val="16"/>
                <w:szCs w:val="16"/>
              </w:rPr>
            </w:pPr>
            <w:r>
              <w:rPr>
                <w:sz w:val="16"/>
                <w:szCs w:val="16"/>
              </w:rPr>
              <w:t>Seguimiento UVAT</w:t>
            </w:r>
          </w:p>
        </w:tc>
        <w:tc>
          <w:tcPr>
            <w:tcW w:w="540" w:type="dxa"/>
            <w:shd w:val="clear" w:color="auto" w:fill="DEEBF6"/>
          </w:tcPr>
          <w:p w:rsidR="00732844" w:rsidRDefault="00732844">
            <w:pPr>
              <w:spacing w:before="240"/>
              <w:rPr>
                <w:sz w:val="16"/>
                <w:szCs w:val="16"/>
              </w:rPr>
            </w:pPr>
          </w:p>
        </w:tc>
        <w:tc>
          <w:tcPr>
            <w:tcW w:w="555" w:type="dxa"/>
            <w:shd w:val="clear" w:color="auto" w:fill="DEEBF6"/>
          </w:tcPr>
          <w:p w:rsidR="00732844" w:rsidRDefault="00732844">
            <w:pPr>
              <w:spacing w:before="240"/>
              <w:rPr>
                <w:sz w:val="16"/>
                <w:szCs w:val="16"/>
              </w:rPr>
            </w:pPr>
          </w:p>
        </w:tc>
        <w:tc>
          <w:tcPr>
            <w:tcW w:w="540" w:type="dxa"/>
            <w:shd w:val="clear" w:color="auto" w:fill="DEEBF6"/>
          </w:tcPr>
          <w:p w:rsidR="00732844" w:rsidRDefault="00732844">
            <w:pPr>
              <w:spacing w:before="240"/>
              <w:rPr>
                <w:sz w:val="16"/>
                <w:szCs w:val="16"/>
              </w:rPr>
            </w:pPr>
          </w:p>
        </w:tc>
        <w:tc>
          <w:tcPr>
            <w:tcW w:w="555" w:type="dxa"/>
            <w:shd w:val="clear" w:color="auto" w:fill="DEEBF6"/>
          </w:tcPr>
          <w:p w:rsidR="00732844" w:rsidRDefault="00732844">
            <w:pPr>
              <w:spacing w:before="240"/>
              <w:rPr>
                <w:sz w:val="16"/>
                <w:szCs w:val="16"/>
              </w:rPr>
            </w:pPr>
          </w:p>
        </w:tc>
        <w:tc>
          <w:tcPr>
            <w:tcW w:w="540" w:type="dxa"/>
            <w:shd w:val="clear" w:color="auto" w:fill="DEEBF6"/>
          </w:tcPr>
          <w:p w:rsidR="00732844" w:rsidRDefault="00732844">
            <w:pPr>
              <w:spacing w:before="240"/>
              <w:rPr>
                <w:sz w:val="16"/>
                <w:szCs w:val="16"/>
              </w:rPr>
            </w:pPr>
          </w:p>
        </w:tc>
        <w:tc>
          <w:tcPr>
            <w:tcW w:w="570" w:type="dxa"/>
            <w:shd w:val="clear" w:color="auto" w:fill="DEEBF6"/>
          </w:tcPr>
          <w:p w:rsidR="00732844" w:rsidRDefault="00732844">
            <w:pPr>
              <w:spacing w:before="240"/>
              <w:rPr>
                <w:sz w:val="16"/>
                <w:szCs w:val="16"/>
              </w:rPr>
            </w:pPr>
          </w:p>
        </w:tc>
        <w:tc>
          <w:tcPr>
            <w:tcW w:w="555" w:type="dxa"/>
            <w:shd w:val="clear" w:color="auto" w:fill="DEEBF6"/>
          </w:tcPr>
          <w:p w:rsidR="00732844" w:rsidRDefault="00732844">
            <w:pPr>
              <w:spacing w:before="240"/>
              <w:rPr>
                <w:sz w:val="16"/>
                <w:szCs w:val="16"/>
              </w:rPr>
            </w:pPr>
          </w:p>
        </w:tc>
        <w:tc>
          <w:tcPr>
            <w:tcW w:w="540" w:type="dxa"/>
            <w:shd w:val="clear" w:color="auto" w:fill="DEEBF6"/>
          </w:tcPr>
          <w:p w:rsidR="00732844" w:rsidRDefault="00732844">
            <w:pPr>
              <w:spacing w:before="240"/>
              <w:rPr>
                <w:sz w:val="16"/>
                <w:szCs w:val="16"/>
              </w:rPr>
            </w:pPr>
          </w:p>
        </w:tc>
        <w:tc>
          <w:tcPr>
            <w:tcW w:w="585" w:type="dxa"/>
            <w:shd w:val="clear" w:color="auto" w:fill="DEEBF6"/>
          </w:tcPr>
          <w:p w:rsidR="00732844" w:rsidRDefault="00732844">
            <w:pPr>
              <w:spacing w:before="240"/>
              <w:rPr>
                <w:sz w:val="16"/>
                <w:szCs w:val="16"/>
              </w:rPr>
            </w:pPr>
          </w:p>
        </w:tc>
        <w:tc>
          <w:tcPr>
            <w:tcW w:w="615" w:type="dxa"/>
            <w:shd w:val="clear" w:color="auto" w:fill="DEEBF6"/>
          </w:tcPr>
          <w:p w:rsidR="00732844" w:rsidRDefault="00732844">
            <w:pPr>
              <w:spacing w:before="240"/>
              <w:rPr>
                <w:sz w:val="16"/>
                <w:szCs w:val="16"/>
              </w:rPr>
            </w:pPr>
          </w:p>
        </w:tc>
      </w:tr>
      <w:tr w:rsidR="00732844">
        <w:tc>
          <w:tcPr>
            <w:tcW w:w="3270" w:type="dxa"/>
          </w:tcPr>
          <w:p w:rsidR="00732844" w:rsidRDefault="00C152D7">
            <w:pPr>
              <w:spacing w:before="240"/>
              <w:rPr>
                <w:sz w:val="16"/>
                <w:szCs w:val="16"/>
              </w:rPr>
            </w:pPr>
            <w:r>
              <w:rPr>
                <w:sz w:val="16"/>
                <w:szCs w:val="16"/>
              </w:rPr>
              <w:t>Informe de avance</w:t>
            </w:r>
          </w:p>
        </w:tc>
        <w:tc>
          <w:tcPr>
            <w:tcW w:w="54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55" w:type="dxa"/>
            <w:shd w:val="clear" w:color="auto" w:fill="auto"/>
          </w:tcPr>
          <w:p w:rsidR="00732844" w:rsidRDefault="00732844">
            <w:pPr>
              <w:spacing w:before="240"/>
              <w:rPr>
                <w:sz w:val="16"/>
                <w:szCs w:val="16"/>
              </w:rPr>
            </w:pPr>
          </w:p>
        </w:tc>
        <w:tc>
          <w:tcPr>
            <w:tcW w:w="540" w:type="dxa"/>
            <w:shd w:val="clear" w:color="auto" w:fill="DEEBF6"/>
          </w:tcPr>
          <w:p w:rsidR="00732844" w:rsidRDefault="00732844">
            <w:pPr>
              <w:spacing w:before="240"/>
              <w:rPr>
                <w:sz w:val="16"/>
                <w:szCs w:val="16"/>
              </w:rPr>
            </w:pPr>
          </w:p>
        </w:tc>
        <w:tc>
          <w:tcPr>
            <w:tcW w:w="57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85" w:type="dxa"/>
          </w:tcPr>
          <w:p w:rsidR="00732844" w:rsidRDefault="00732844">
            <w:pPr>
              <w:spacing w:before="240"/>
              <w:rPr>
                <w:sz w:val="16"/>
                <w:szCs w:val="16"/>
              </w:rPr>
            </w:pPr>
          </w:p>
        </w:tc>
        <w:tc>
          <w:tcPr>
            <w:tcW w:w="615" w:type="dxa"/>
          </w:tcPr>
          <w:p w:rsidR="00732844" w:rsidRDefault="00732844">
            <w:pPr>
              <w:spacing w:before="240"/>
              <w:rPr>
                <w:sz w:val="16"/>
                <w:szCs w:val="16"/>
              </w:rPr>
            </w:pPr>
          </w:p>
        </w:tc>
      </w:tr>
      <w:tr w:rsidR="00AC4B4F" w:rsidTr="00AC4B4F">
        <w:tc>
          <w:tcPr>
            <w:tcW w:w="3270" w:type="dxa"/>
          </w:tcPr>
          <w:p w:rsidR="00AC4B4F" w:rsidRDefault="00AC4B4F">
            <w:pPr>
              <w:spacing w:before="240"/>
              <w:rPr>
                <w:sz w:val="16"/>
                <w:szCs w:val="16"/>
              </w:rPr>
            </w:pPr>
            <w:r>
              <w:rPr>
                <w:sz w:val="16"/>
                <w:szCs w:val="16"/>
              </w:rPr>
              <w:t>Ejecución presupuestaria</w:t>
            </w:r>
            <w:r>
              <w:rPr>
                <w:rStyle w:val="Refdenotaalpie"/>
                <w:sz w:val="16"/>
                <w:szCs w:val="16"/>
              </w:rPr>
              <w:footnoteReference w:id="11"/>
            </w:r>
          </w:p>
        </w:tc>
        <w:tc>
          <w:tcPr>
            <w:tcW w:w="540" w:type="dxa"/>
          </w:tcPr>
          <w:p w:rsidR="00AC4B4F" w:rsidRDefault="00AC4B4F">
            <w:pPr>
              <w:spacing w:before="240"/>
              <w:rPr>
                <w:sz w:val="16"/>
                <w:szCs w:val="16"/>
              </w:rPr>
            </w:pPr>
          </w:p>
        </w:tc>
        <w:tc>
          <w:tcPr>
            <w:tcW w:w="555" w:type="dxa"/>
          </w:tcPr>
          <w:p w:rsidR="00AC4B4F" w:rsidRDefault="00AC4B4F">
            <w:pPr>
              <w:spacing w:before="240"/>
              <w:rPr>
                <w:sz w:val="16"/>
                <w:szCs w:val="16"/>
              </w:rPr>
            </w:pPr>
          </w:p>
        </w:tc>
        <w:tc>
          <w:tcPr>
            <w:tcW w:w="540" w:type="dxa"/>
          </w:tcPr>
          <w:p w:rsidR="00AC4B4F" w:rsidRDefault="00AC4B4F">
            <w:pPr>
              <w:spacing w:before="240"/>
              <w:rPr>
                <w:sz w:val="16"/>
                <w:szCs w:val="16"/>
              </w:rPr>
            </w:pPr>
          </w:p>
        </w:tc>
        <w:tc>
          <w:tcPr>
            <w:tcW w:w="555" w:type="dxa"/>
            <w:shd w:val="clear" w:color="auto" w:fill="auto"/>
          </w:tcPr>
          <w:p w:rsidR="00AC4B4F" w:rsidRDefault="00AC4B4F">
            <w:pPr>
              <w:spacing w:before="240"/>
              <w:rPr>
                <w:sz w:val="16"/>
                <w:szCs w:val="16"/>
              </w:rPr>
            </w:pPr>
          </w:p>
        </w:tc>
        <w:tc>
          <w:tcPr>
            <w:tcW w:w="540" w:type="dxa"/>
            <w:shd w:val="clear" w:color="auto" w:fill="auto"/>
          </w:tcPr>
          <w:p w:rsidR="00AC4B4F" w:rsidRDefault="00AC4B4F">
            <w:pPr>
              <w:spacing w:before="240"/>
              <w:rPr>
                <w:sz w:val="16"/>
                <w:szCs w:val="16"/>
              </w:rPr>
            </w:pPr>
          </w:p>
        </w:tc>
        <w:tc>
          <w:tcPr>
            <w:tcW w:w="570" w:type="dxa"/>
            <w:shd w:val="clear" w:color="auto" w:fill="DEEAF6" w:themeFill="accent5" w:themeFillTint="33"/>
          </w:tcPr>
          <w:p w:rsidR="00AC4B4F" w:rsidRDefault="00AC4B4F">
            <w:pPr>
              <w:spacing w:before="240"/>
              <w:rPr>
                <w:sz w:val="16"/>
                <w:szCs w:val="16"/>
              </w:rPr>
            </w:pPr>
          </w:p>
        </w:tc>
        <w:tc>
          <w:tcPr>
            <w:tcW w:w="555" w:type="dxa"/>
          </w:tcPr>
          <w:p w:rsidR="00AC4B4F" w:rsidRDefault="00AC4B4F">
            <w:pPr>
              <w:spacing w:before="240"/>
              <w:rPr>
                <w:sz w:val="16"/>
                <w:szCs w:val="16"/>
              </w:rPr>
            </w:pPr>
          </w:p>
        </w:tc>
        <w:tc>
          <w:tcPr>
            <w:tcW w:w="540" w:type="dxa"/>
          </w:tcPr>
          <w:p w:rsidR="00AC4B4F" w:rsidRDefault="00AC4B4F">
            <w:pPr>
              <w:spacing w:before="240"/>
              <w:rPr>
                <w:sz w:val="16"/>
                <w:szCs w:val="16"/>
              </w:rPr>
            </w:pPr>
          </w:p>
        </w:tc>
        <w:tc>
          <w:tcPr>
            <w:tcW w:w="585" w:type="dxa"/>
          </w:tcPr>
          <w:p w:rsidR="00AC4B4F" w:rsidRDefault="00AC4B4F">
            <w:pPr>
              <w:spacing w:before="240"/>
              <w:rPr>
                <w:sz w:val="16"/>
                <w:szCs w:val="16"/>
              </w:rPr>
            </w:pPr>
          </w:p>
        </w:tc>
        <w:tc>
          <w:tcPr>
            <w:tcW w:w="615" w:type="dxa"/>
          </w:tcPr>
          <w:p w:rsidR="00AC4B4F" w:rsidRDefault="00AC4B4F">
            <w:pPr>
              <w:spacing w:before="240"/>
              <w:rPr>
                <w:sz w:val="16"/>
                <w:szCs w:val="16"/>
              </w:rPr>
            </w:pPr>
          </w:p>
        </w:tc>
      </w:tr>
      <w:tr w:rsidR="00732844">
        <w:tc>
          <w:tcPr>
            <w:tcW w:w="3270" w:type="dxa"/>
          </w:tcPr>
          <w:p w:rsidR="00732844" w:rsidRDefault="00C152D7">
            <w:pPr>
              <w:spacing w:before="240"/>
              <w:rPr>
                <w:sz w:val="16"/>
                <w:szCs w:val="16"/>
              </w:rPr>
            </w:pPr>
            <w:r>
              <w:rPr>
                <w:sz w:val="16"/>
                <w:szCs w:val="16"/>
              </w:rPr>
              <w:t>Jornada de cierre proyectos</w:t>
            </w:r>
            <w:r>
              <w:rPr>
                <w:sz w:val="16"/>
                <w:szCs w:val="16"/>
                <w:vertAlign w:val="superscript"/>
              </w:rPr>
              <w:footnoteReference w:id="12"/>
            </w:r>
          </w:p>
        </w:tc>
        <w:tc>
          <w:tcPr>
            <w:tcW w:w="54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7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85" w:type="dxa"/>
            <w:shd w:val="clear" w:color="auto" w:fill="auto"/>
          </w:tcPr>
          <w:p w:rsidR="00732844" w:rsidRDefault="00732844">
            <w:pPr>
              <w:spacing w:before="240"/>
              <w:rPr>
                <w:sz w:val="16"/>
                <w:szCs w:val="16"/>
              </w:rPr>
            </w:pPr>
          </w:p>
        </w:tc>
        <w:tc>
          <w:tcPr>
            <w:tcW w:w="615" w:type="dxa"/>
            <w:shd w:val="clear" w:color="auto" w:fill="DEEBF6"/>
          </w:tcPr>
          <w:p w:rsidR="00732844" w:rsidRDefault="00732844">
            <w:pPr>
              <w:spacing w:before="240"/>
              <w:rPr>
                <w:sz w:val="16"/>
                <w:szCs w:val="16"/>
              </w:rPr>
            </w:pPr>
          </w:p>
        </w:tc>
      </w:tr>
      <w:tr w:rsidR="00732844">
        <w:tc>
          <w:tcPr>
            <w:tcW w:w="3270" w:type="dxa"/>
          </w:tcPr>
          <w:p w:rsidR="00732844" w:rsidRDefault="00C152D7">
            <w:pPr>
              <w:spacing w:before="240"/>
              <w:rPr>
                <w:sz w:val="16"/>
                <w:szCs w:val="16"/>
              </w:rPr>
            </w:pPr>
            <w:r>
              <w:rPr>
                <w:sz w:val="16"/>
                <w:szCs w:val="16"/>
              </w:rPr>
              <w:t>Entrega informe final</w:t>
            </w:r>
          </w:p>
        </w:tc>
        <w:tc>
          <w:tcPr>
            <w:tcW w:w="54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70" w:type="dxa"/>
          </w:tcPr>
          <w:p w:rsidR="00732844" w:rsidRDefault="00732844">
            <w:pPr>
              <w:spacing w:before="240"/>
              <w:rPr>
                <w:sz w:val="16"/>
                <w:szCs w:val="16"/>
              </w:rPr>
            </w:pPr>
          </w:p>
        </w:tc>
        <w:tc>
          <w:tcPr>
            <w:tcW w:w="555" w:type="dxa"/>
          </w:tcPr>
          <w:p w:rsidR="00732844" w:rsidRDefault="00732844">
            <w:pPr>
              <w:spacing w:before="240"/>
              <w:rPr>
                <w:sz w:val="16"/>
                <w:szCs w:val="16"/>
              </w:rPr>
            </w:pPr>
          </w:p>
        </w:tc>
        <w:tc>
          <w:tcPr>
            <w:tcW w:w="540" w:type="dxa"/>
          </w:tcPr>
          <w:p w:rsidR="00732844" w:rsidRDefault="00732844">
            <w:pPr>
              <w:spacing w:before="240"/>
              <w:rPr>
                <w:sz w:val="16"/>
                <w:szCs w:val="16"/>
              </w:rPr>
            </w:pPr>
          </w:p>
        </w:tc>
        <w:tc>
          <w:tcPr>
            <w:tcW w:w="585" w:type="dxa"/>
            <w:shd w:val="clear" w:color="auto" w:fill="auto"/>
          </w:tcPr>
          <w:p w:rsidR="00732844" w:rsidRDefault="00732844">
            <w:pPr>
              <w:spacing w:before="240"/>
              <w:rPr>
                <w:sz w:val="16"/>
                <w:szCs w:val="16"/>
              </w:rPr>
            </w:pPr>
          </w:p>
        </w:tc>
        <w:tc>
          <w:tcPr>
            <w:tcW w:w="615" w:type="dxa"/>
            <w:shd w:val="clear" w:color="auto" w:fill="DEEBF6"/>
          </w:tcPr>
          <w:p w:rsidR="00732844" w:rsidRDefault="00732844">
            <w:pPr>
              <w:spacing w:before="240"/>
              <w:rPr>
                <w:sz w:val="16"/>
                <w:szCs w:val="16"/>
              </w:rPr>
            </w:pPr>
          </w:p>
        </w:tc>
      </w:tr>
    </w:tbl>
    <w:p w:rsidR="00732844" w:rsidRDefault="00C152D7">
      <w:pPr>
        <w:spacing w:before="240" w:after="205" w:line="240" w:lineRule="auto"/>
        <w:ind w:right="-6"/>
        <w:jc w:val="both"/>
        <w:rPr>
          <w:rFonts w:ascii="Calibri" w:eastAsia="Calibri" w:hAnsi="Calibri" w:cs="Calibri"/>
        </w:rPr>
      </w:pPr>
      <w:r>
        <w:rPr>
          <w:rFonts w:ascii="Calibri" w:eastAsia="Calibri" w:hAnsi="Calibri" w:cs="Calibri"/>
        </w:rPr>
        <w:lastRenderedPageBreak/>
        <w:t>Las etapas y su calendarización pueden sufrir modificaciones de acuerdo al desarrollo del año lectivo y según considere la DGVM.</w:t>
      </w:r>
    </w:p>
    <w:p w:rsidR="00732844" w:rsidRDefault="00C152D7">
      <w:pPr>
        <w:spacing w:after="205" w:line="240" w:lineRule="auto"/>
        <w:ind w:right="-6"/>
        <w:jc w:val="both"/>
        <w:rPr>
          <w:rFonts w:ascii="Calibri" w:eastAsia="Calibri" w:hAnsi="Calibri" w:cs="Calibri"/>
        </w:rPr>
      </w:pPr>
      <w:r>
        <w:rPr>
          <w:rFonts w:ascii="Calibri" w:eastAsia="Calibri" w:hAnsi="Calibri" w:cs="Calibri"/>
        </w:rPr>
        <w:t xml:space="preserve">Si bien la rendición de gastos no está contemplada en las etapas de ejecución, sí es una tarea permanente de acuerdo a la modalidad de ejecución presupuestaria. </w:t>
      </w:r>
    </w:p>
    <w:p w:rsidR="00732844" w:rsidRDefault="00C152D7">
      <w:pPr>
        <w:spacing w:after="205" w:line="240" w:lineRule="auto"/>
        <w:ind w:right="-6"/>
        <w:jc w:val="both"/>
        <w:rPr>
          <w:rFonts w:ascii="Calibri" w:eastAsia="Calibri" w:hAnsi="Calibri" w:cs="Calibri"/>
        </w:rPr>
      </w:pPr>
      <w:r>
        <w:rPr>
          <w:rFonts w:ascii="Calibri" w:eastAsia="Calibri" w:hAnsi="Calibri" w:cs="Calibri"/>
          <w:highlight w:val="white"/>
        </w:rPr>
        <w:t xml:space="preserve">Los proyectos a postular pueden corresponder a cualquiera de las siguientes modalidades: </w:t>
      </w:r>
    </w:p>
    <w:p w:rsidR="00732844" w:rsidRDefault="00C152D7">
      <w:pPr>
        <w:numPr>
          <w:ilvl w:val="0"/>
          <w:numId w:val="2"/>
        </w:numPr>
        <w:spacing w:before="240"/>
        <w:jc w:val="both"/>
        <w:rPr>
          <w:rFonts w:ascii="Calibri" w:eastAsia="Calibri" w:hAnsi="Calibri" w:cs="Calibri"/>
        </w:rPr>
      </w:pPr>
      <w:r>
        <w:rPr>
          <w:rFonts w:ascii="Calibri" w:eastAsia="Calibri" w:hAnsi="Calibri" w:cs="Calibri"/>
          <w:b/>
        </w:rPr>
        <w:t>Fondo de Consolidación:</w:t>
      </w:r>
      <w:r>
        <w:rPr>
          <w:rFonts w:ascii="Calibri" w:eastAsia="Calibri" w:hAnsi="Calibri" w:cs="Calibri"/>
        </w:rPr>
        <w:t xml:space="preserve"> Proyectos de Vinculación Académica que </w:t>
      </w:r>
      <w:r>
        <w:rPr>
          <w:rFonts w:ascii="Calibri" w:eastAsia="Calibri" w:hAnsi="Calibri" w:cs="Calibri"/>
          <w:b/>
        </w:rPr>
        <w:t>cuenten con trayectoria y busquen la consolidación institucional</w:t>
      </w:r>
      <w:r>
        <w:rPr>
          <w:rFonts w:ascii="Calibri" w:eastAsia="Calibri" w:hAnsi="Calibri" w:cs="Calibri"/>
        </w:rPr>
        <w:t xml:space="preserve"> a través de la creación de programas formalizados a través de resolución. Se financiará un máximo de 12 proyectos en esta línea, y su financiamiento disponible será de </w:t>
      </w:r>
      <w:r>
        <w:rPr>
          <w:rFonts w:ascii="Calibri" w:eastAsia="Calibri" w:hAnsi="Calibri" w:cs="Calibri"/>
          <w:b/>
        </w:rPr>
        <w:t>$4.300.000</w:t>
      </w:r>
      <w:r>
        <w:rPr>
          <w:rFonts w:ascii="Calibri" w:eastAsia="Calibri" w:hAnsi="Calibri" w:cs="Calibri"/>
        </w:rPr>
        <w:t xml:space="preserve">.- (cuatro millones trescientos mil pesos IVA incluido). De ese monto, se dispondrá de un </w:t>
      </w:r>
      <w:r>
        <w:rPr>
          <w:rFonts w:ascii="Calibri" w:eastAsia="Calibri" w:hAnsi="Calibri" w:cs="Calibri"/>
          <w:b/>
        </w:rPr>
        <w:t>$1.300.000</w:t>
      </w:r>
      <w:r>
        <w:rPr>
          <w:rFonts w:ascii="Calibri" w:eastAsia="Calibri" w:hAnsi="Calibri" w:cs="Calibri"/>
        </w:rPr>
        <w:t xml:space="preserve">.- (un millón trescientos mil pesos IVA incluido) para utilizarse en gasto capital. Los bienes adquiridos deberán ser inventariados con responsabilidad del programa asociado. </w:t>
      </w:r>
    </w:p>
    <w:p w:rsidR="00732844" w:rsidRDefault="00C152D7">
      <w:pPr>
        <w:spacing w:before="240"/>
        <w:ind w:left="720"/>
        <w:jc w:val="both"/>
        <w:rPr>
          <w:rFonts w:ascii="Calibri" w:eastAsia="Calibri" w:hAnsi="Calibri" w:cs="Calibri"/>
        </w:rPr>
      </w:pPr>
      <w:r>
        <w:rPr>
          <w:rFonts w:ascii="Calibri" w:eastAsia="Calibri" w:hAnsi="Calibri" w:cs="Calibri"/>
        </w:rPr>
        <w:t xml:space="preserve">Estas iniciativas deberán cumplir con los siguientes criterios: </w:t>
      </w:r>
    </w:p>
    <w:p w:rsidR="00732844" w:rsidRDefault="00C152D7">
      <w:pPr>
        <w:numPr>
          <w:ilvl w:val="0"/>
          <w:numId w:val="10"/>
        </w:numPr>
        <w:pBdr>
          <w:top w:val="nil"/>
          <w:left w:val="nil"/>
          <w:bottom w:val="nil"/>
          <w:right w:val="nil"/>
          <w:between w:val="nil"/>
        </w:pBdr>
        <w:spacing w:before="240"/>
        <w:jc w:val="both"/>
        <w:rPr>
          <w:rFonts w:ascii="Calibri" w:eastAsia="Calibri" w:hAnsi="Calibri" w:cs="Calibri"/>
          <w:color w:val="000000"/>
        </w:rPr>
      </w:pPr>
      <w:r>
        <w:rPr>
          <w:rFonts w:ascii="Calibri" w:eastAsia="Calibri" w:hAnsi="Calibri" w:cs="Calibri"/>
          <w:color w:val="000000"/>
        </w:rPr>
        <w:t>Deberán contar con trayectoria</w:t>
      </w:r>
      <w:r>
        <w:rPr>
          <w:rFonts w:ascii="Calibri" w:eastAsia="Calibri" w:hAnsi="Calibri" w:cs="Calibri"/>
          <w:b/>
          <w:color w:val="000000"/>
        </w:rPr>
        <w:t xml:space="preserve"> comprobable</w:t>
      </w:r>
      <w:r>
        <w:rPr>
          <w:rFonts w:ascii="Calibri" w:eastAsia="Calibri" w:hAnsi="Calibri" w:cs="Calibri"/>
          <w:color w:val="000000"/>
        </w:rPr>
        <w:t xml:space="preserve">. Se considerarán los años que la iniciativa se lleve ejecutando en el territorio; el escalamiento que ha tenido y la experiencia académica relacionada a ella. </w:t>
      </w:r>
    </w:p>
    <w:p w:rsidR="00732844" w:rsidRDefault="00C152D7">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Deberá comprobar una </w:t>
      </w:r>
      <w:r>
        <w:rPr>
          <w:rFonts w:ascii="Calibri" w:eastAsia="Calibri" w:hAnsi="Calibri" w:cs="Calibri"/>
          <w:b/>
          <w:color w:val="000000"/>
        </w:rPr>
        <w:t xml:space="preserve">relación con dos o más </w:t>
      </w:r>
      <w:r>
        <w:rPr>
          <w:rFonts w:ascii="Calibri" w:eastAsia="Calibri" w:hAnsi="Calibri" w:cs="Calibri"/>
          <w:b/>
        </w:rPr>
        <w:t>actores</w:t>
      </w:r>
      <w:r>
        <w:rPr>
          <w:rFonts w:ascii="Calibri" w:eastAsia="Calibri" w:hAnsi="Calibri" w:cs="Calibri"/>
          <w:b/>
          <w:color w:val="000000"/>
        </w:rPr>
        <w:t xml:space="preserve"> territoriales</w:t>
      </w:r>
      <w:r>
        <w:rPr>
          <w:rFonts w:ascii="Calibri" w:eastAsia="Calibri" w:hAnsi="Calibri" w:cs="Calibri"/>
          <w:color w:val="000000"/>
        </w:rPr>
        <w:t xml:space="preserve">, considerando instituciones públicas, privadas o de la organización civil con presencia local, regional y/o nacional. </w:t>
      </w:r>
    </w:p>
    <w:p w:rsidR="00732844" w:rsidRDefault="00C152D7">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Deberá contar con </w:t>
      </w:r>
      <w:r>
        <w:rPr>
          <w:rFonts w:ascii="Calibri" w:eastAsia="Calibri" w:hAnsi="Calibri" w:cs="Calibri"/>
          <w:b/>
          <w:color w:val="000000"/>
        </w:rPr>
        <w:t>contribuciones comprobables</w:t>
      </w:r>
      <w:r>
        <w:rPr>
          <w:rFonts w:ascii="Calibri" w:eastAsia="Calibri" w:hAnsi="Calibri" w:cs="Calibri"/>
          <w:color w:val="000000"/>
        </w:rPr>
        <w:t xml:space="preserve"> </w:t>
      </w:r>
      <w:r>
        <w:rPr>
          <w:rFonts w:ascii="Calibri" w:eastAsia="Calibri" w:hAnsi="Calibri" w:cs="Calibri"/>
        </w:rPr>
        <w:t>que pueden ser  internas o externas</w:t>
      </w:r>
      <w:r>
        <w:rPr>
          <w:rFonts w:ascii="Calibri" w:eastAsia="Calibri" w:hAnsi="Calibri" w:cs="Calibri"/>
          <w:vertAlign w:val="superscript"/>
        </w:rPr>
        <w:footnoteReference w:id="13"/>
      </w:r>
      <w:r>
        <w:rPr>
          <w:rFonts w:ascii="Calibri" w:eastAsia="Calibri" w:hAnsi="Calibri" w:cs="Calibri"/>
        </w:rPr>
        <w:t>.</w:t>
      </w:r>
    </w:p>
    <w:p w:rsidR="00732844" w:rsidRDefault="00732844">
      <w:pPr>
        <w:pBdr>
          <w:top w:val="nil"/>
          <w:left w:val="nil"/>
          <w:bottom w:val="nil"/>
          <w:right w:val="nil"/>
          <w:between w:val="nil"/>
        </w:pBdr>
        <w:ind w:left="1440"/>
        <w:jc w:val="both"/>
        <w:rPr>
          <w:rFonts w:ascii="Calibri" w:eastAsia="Calibri" w:hAnsi="Calibri" w:cs="Calibri"/>
          <w:color w:val="000000"/>
        </w:rPr>
      </w:pPr>
    </w:p>
    <w:p w:rsidR="00732844" w:rsidRDefault="00C152D7">
      <w:pPr>
        <w:numPr>
          <w:ilvl w:val="0"/>
          <w:numId w:val="2"/>
        </w:numPr>
        <w:spacing w:after="240"/>
        <w:jc w:val="both"/>
        <w:rPr>
          <w:rFonts w:ascii="Calibri" w:eastAsia="Calibri" w:hAnsi="Calibri" w:cs="Calibri"/>
        </w:rPr>
      </w:pPr>
      <w:r>
        <w:rPr>
          <w:rFonts w:ascii="Calibri" w:eastAsia="Calibri" w:hAnsi="Calibri" w:cs="Calibri"/>
          <w:b/>
        </w:rPr>
        <w:t>Fondo Inicial:</w:t>
      </w:r>
      <w:r>
        <w:rPr>
          <w:rFonts w:ascii="Calibri" w:eastAsia="Calibri" w:hAnsi="Calibri" w:cs="Calibri"/>
        </w:rPr>
        <w:t xml:space="preserve"> Proyectos de Vinculación Académica </w:t>
      </w:r>
      <w:r>
        <w:rPr>
          <w:rFonts w:ascii="Calibri" w:eastAsia="Calibri" w:hAnsi="Calibri" w:cs="Calibri"/>
          <w:b/>
        </w:rPr>
        <w:t>inéditos que no hayan contado con financiamiento desde la DGVM anteriormente</w:t>
      </w:r>
      <w:r>
        <w:rPr>
          <w:rFonts w:ascii="Calibri" w:eastAsia="Calibri" w:hAnsi="Calibri" w:cs="Calibri"/>
        </w:rPr>
        <w:t xml:space="preserve">. Como máximo, se financiarán 4 proyectos bajo esta modalidad y cada uno de ellos podrá acceder a </w:t>
      </w:r>
      <w:r>
        <w:rPr>
          <w:rFonts w:ascii="Calibri" w:eastAsia="Calibri" w:hAnsi="Calibri" w:cs="Calibri"/>
          <w:b/>
        </w:rPr>
        <w:t xml:space="preserve">$3.000.000.- </w:t>
      </w:r>
      <w:r>
        <w:rPr>
          <w:rFonts w:ascii="Calibri" w:eastAsia="Calibri" w:hAnsi="Calibri" w:cs="Calibri"/>
        </w:rPr>
        <w:t xml:space="preserve">(tres millones de pesos IVA incluido) de financiamiento. </w:t>
      </w:r>
      <w:r>
        <w:rPr>
          <w:rFonts w:ascii="Calibri" w:eastAsia="Calibri" w:hAnsi="Calibri" w:cs="Calibri"/>
          <w:b/>
          <w:u w:val="single"/>
        </w:rPr>
        <w:t>Este fondo NO considera gasto capital.</w:t>
      </w:r>
    </w:p>
    <w:p w:rsidR="00732844" w:rsidRDefault="00C152D7">
      <w:pPr>
        <w:spacing w:after="240"/>
        <w:ind w:left="720"/>
        <w:jc w:val="both"/>
        <w:rPr>
          <w:rFonts w:ascii="Calibri" w:eastAsia="Calibri" w:hAnsi="Calibri" w:cs="Calibri"/>
        </w:rPr>
      </w:pPr>
      <w:r>
        <w:rPr>
          <w:rFonts w:ascii="Calibri" w:eastAsia="Calibri" w:hAnsi="Calibri" w:cs="Calibri"/>
        </w:rPr>
        <w:t xml:space="preserve">Estas iniciativas deberán cumplir con los siguientes criterios: </w:t>
      </w:r>
    </w:p>
    <w:p w:rsidR="00732844" w:rsidRDefault="00C152D7">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T</w:t>
      </w:r>
      <w:r>
        <w:rPr>
          <w:rFonts w:ascii="Calibri" w:eastAsia="Calibri" w:hAnsi="Calibri" w:cs="Calibri"/>
          <w:color w:val="000000"/>
        </w:rPr>
        <w:t xml:space="preserve">ener trayectoria previa en </w:t>
      </w:r>
      <w:r>
        <w:rPr>
          <w:rFonts w:ascii="Calibri" w:eastAsia="Calibri" w:hAnsi="Calibri" w:cs="Calibri"/>
        </w:rPr>
        <w:t>etapa</w:t>
      </w:r>
      <w:r>
        <w:rPr>
          <w:rFonts w:ascii="Calibri" w:eastAsia="Calibri" w:hAnsi="Calibri" w:cs="Calibri"/>
          <w:color w:val="000000"/>
        </w:rPr>
        <w:t xml:space="preserve"> inicial a nivel de la universidad</w:t>
      </w:r>
      <w:r>
        <w:rPr>
          <w:rFonts w:ascii="Calibri" w:eastAsia="Calibri" w:hAnsi="Calibri" w:cs="Calibri"/>
          <w:color w:val="000000"/>
          <w:vertAlign w:val="superscript"/>
        </w:rPr>
        <w:footnoteReference w:id="14"/>
      </w:r>
      <w:r>
        <w:rPr>
          <w:rFonts w:ascii="Calibri" w:eastAsia="Calibri" w:hAnsi="Calibri" w:cs="Calibri"/>
          <w:color w:val="000000"/>
        </w:rPr>
        <w:t>.</w:t>
      </w:r>
    </w:p>
    <w:p w:rsidR="00732844" w:rsidRDefault="00C152D7">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Deberá considerar el trabajo con una institución pública, privada o de la organización civil. </w:t>
      </w:r>
    </w:p>
    <w:p w:rsidR="00732844" w:rsidRDefault="00C152D7">
      <w:pPr>
        <w:numPr>
          <w:ilvl w:val="0"/>
          <w:numId w:val="1"/>
        </w:num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color w:val="000000"/>
        </w:rPr>
        <w:t>No tener contribuciones monetarias previas, ya sea internas o externas.</w:t>
      </w:r>
    </w:p>
    <w:p w:rsidR="00732844" w:rsidRDefault="00C152D7">
      <w:pPr>
        <w:spacing w:after="205"/>
        <w:ind w:right="-6"/>
        <w:jc w:val="both"/>
        <w:rPr>
          <w:rFonts w:ascii="Calibri" w:eastAsia="Calibri" w:hAnsi="Calibri" w:cs="Calibri"/>
          <w:highlight w:val="white"/>
        </w:rPr>
      </w:pPr>
      <w:r>
        <w:rPr>
          <w:rFonts w:ascii="Calibri" w:eastAsia="Calibri" w:hAnsi="Calibri" w:cs="Calibri"/>
        </w:rPr>
        <w:lastRenderedPageBreak/>
        <w:t xml:space="preserve">El monto destinado para financiar este concurso es de </w:t>
      </w:r>
      <w:r w:rsidR="001A5824">
        <w:rPr>
          <w:rFonts w:ascii="Calibri" w:eastAsia="Calibri" w:hAnsi="Calibri" w:cs="Calibri"/>
          <w:b/>
        </w:rPr>
        <w:t>$63</w:t>
      </w:r>
      <w:r>
        <w:rPr>
          <w:rFonts w:ascii="Calibri" w:eastAsia="Calibri" w:hAnsi="Calibri" w:cs="Calibri"/>
          <w:b/>
        </w:rPr>
        <w:t>.600.0000.-</w:t>
      </w:r>
      <w:r>
        <w:rPr>
          <w:rFonts w:ascii="Calibri" w:eastAsia="Calibri" w:hAnsi="Calibri" w:cs="Calibri"/>
        </w:rPr>
        <w:t xml:space="preserve"> (sesenta y </w:t>
      </w:r>
      <w:r w:rsidR="001A5824">
        <w:rPr>
          <w:rFonts w:ascii="Calibri" w:eastAsia="Calibri" w:hAnsi="Calibri" w:cs="Calibri"/>
        </w:rPr>
        <w:t>tres</w:t>
      </w:r>
      <w:r>
        <w:rPr>
          <w:rFonts w:ascii="Calibri" w:eastAsia="Calibri" w:hAnsi="Calibri" w:cs="Calibri"/>
        </w:rPr>
        <w:t xml:space="preserve"> millones seiscientos mil pesos</w:t>
      </w:r>
      <w:r>
        <w:rPr>
          <w:rFonts w:ascii="Calibri" w:eastAsia="Calibri" w:hAnsi="Calibri" w:cs="Calibri"/>
          <w:highlight w:val="white"/>
        </w:rPr>
        <w:t xml:space="preserve"> IVA incluido).  </w:t>
      </w:r>
    </w:p>
    <w:p w:rsidR="00732844" w:rsidRDefault="00C152D7">
      <w:pPr>
        <w:spacing w:after="205"/>
        <w:ind w:right="-6"/>
        <w:jc w:val="both"/>
        <w:rPr>
          <w:rFonts w:ascii="Calibri" w:eastAsia="Calibri" w:hAnsi="Calibri" w:cs="Calibri"/>
        </w:rPr>
      </w:pPr>
      <w:r>
        <w:rPr>
          <w:rFonts w:ascii="Calibri" w:eastAsia="Calibri" w:hAnsi="Calibri" w:cs="Calibri"/>
        </w:rPr>
        <w:t xml:space="preserve">Los recursos serán ejecutados por los equipos que adjudican las iniciativas, mediante el apoyo de un/a profesional que pondrá a disposición la DGVM y </w:t>
      </w:r>
      <w:r>
        <w:rPr>
          <w:rFonts w:ascii="Calibri" w:eastAsia="Calibri" w:hAnsi="Calibri" w:cs="Calibri"/>
          <w:b/>
        </w:rPr>
        <w:t>cuya función será única y exclusivamente el ingreso de compras al sistema MMM</w:t>
      </w:r>
      <w:r>
        <w:rPr>
          <w:rFonts w:ascii="Calibri" w:eastAsia="Calibri" w:hAnsi="Calibri" w:cs="Calibri"/>
          <w:b/>
          <w:vertAlign w:val="superscript"/>
        </w:rPr>
        <w:footnoteReference w:id="15"/>
      </w:r>
      <w:r>
        <w:rPr>
          <w:rFonts w:ascii="Calibri" w:eastAsia="Calibri" w:hAnsi="Calibri" w:cs="Calibri"/>
          <w:b/>
        </w:rPr>
        <w:t xml:space="preserve"> y la elaboración de fichas SUCH</w:t>
      </w:r>
      <w:r>
        <w:rPr>
          <w:rFonts w:ascii="Calibri" w:eastAsia="Calibri" w:hAnsi="Calibri" w:cs="Calibri"/>
        </w:rPr>
        <w:t xml:space="preserve"> para la gestión de honorarios. Cada proyecto contará con un centro de responsabilidad asociado al o la académica responsable del proyecto. Las compras </w:t>
      </w:r>
      <w:r>
        <w:rPr>
          <w:rFonts w:ascii="Calibri" w:eastAsia="Calibri" w:hAnsi="Calibri" w:cs="Calibri"/>
          <w:b/>
        </w:rPr>
        <w:t>deberán realizarse a través de los mecanismos establecidos por la institución y permitidos</w:t>
      </w:r>
      <w:r>
        <w:rPr>
          <w:rFonts w:ascii="Calibri" w:eastAsia="Calibri" w:hAnsi="Calibri" w:cs="Calibri"/>
          <w:vertAlign w:val="superscript"/>
        </w:rPr>
        <w:footnoteReference w:id="16"/>
      </w:r>
      <w:r>
        <w:rPr>
          <w:rFonts w:ascii="Calibri" w:eastAsia="Calibri" w:hAnsi="Calibri" w:cs="Calibri"/>
        </w:rPr>
        <w:t xml:space="preserve"> por el Ministerio de Educación en lo referente al proyecto CD UPA 2395.</w:t>
      </w:r>
    </w:p>
    <w:p w:rsidR="00732844" w:rsidRDefault="00C152D7">
      <w:pPr>
        <w:spacing w:after="205"/>
        <w:ind w:right="-6"/>
        <w:jc w:val="both"/>
        <w:rPr>
          <w:rFonts w:ascii="Calibri" w:eastAsia="Calibri" w:hAnsi="Calibri" w:cs="Calibri"/>
        </w:rPr>
      </w:pPr>
      <w:r>
        <w:rPr>
          <w:rFonts w:ascii="Calibri" w:eastAsia="Calibri" w:hAnsi="Calibri" w:cs="Calibri"/>
        </w:rPr>
        <w:t>Será el equipo ejecutor el responsable de considerar los plazos institucionales como factor preponderante a la hora de disponer de los insumos adquiridos, debiendo realizar las gestiones necesarias con tiempo suficiente para poder contar con dichos fungibles y/o bienes</w:t>
      </w:r>
      <w:r>
        <w:rPr>
          <w:rFonts w:ascii="Calibri" w:eastAsia="Calibri" w:hAnsi="Calibri" w:cs="Calibri"/>
          <w:vertAlign w:val="superscript"/>
        </w:rPr>
        <w:footnoteReference w:id="17"/>
      </w:r>
      <w:r>
        <w:rPr>
          <w:rFonts w:ascii="Calibri" w:eastAsia="Calibri" w:hAnsi="Calibri" w:cs="Calibri"/>
        </w:rPr>
        <w:t xml:space="preserve"> al momento de realizar las actividades programadas. </w:t>
      </w:r>
    </w:p>
    <w:p w:rsidR="00732844" w:rsidRDefault="00C152D7">
      <w:pPr>
        <w:spacing w:after="205"/>
        <w:ind w:right="-6"/>
        <w:jc w:val="both"/>
        <w:rPr>
          <w:rFonts w:ascii="Calibri" w:eastAsia="Calibri" w:hAnsi="Calibri" w:cs="Calibri"/>
          <w:highlight w:val="white"/>
        </w:rPr>
      </w:pPr>
      <w:r>
        <w:rPr>
          <w:rFonts w:ascii="Calibri" w:eastAsia="Calibri" w:hAnsi="Calibri" w:cs="Calibri"/>
          <w:highlight w:val="white"/>
        </w:rPr>
        <w:t xml:space="preserve">De manera excepcional y justificada se podrá hacer una reitemización de los gastos, previa autorización de la DGVM. </w:t>
      </w:r>
    </w:p>
    <w:p w:rsidR="00732844" w:rsidRDefault="00C152D7">
      <w:pPr>
        <w:spacing w:after="160"/>
        <w:jc w:val="both"/>
        <w:rPr>
          <w:rFonts w:ascii="Calibri" w:eastAsia="Calibri" w:hAnsi="Calibri" w:cs="Calibri"/>
          <w:highlight w:val="white"/>
        </w:rPr>
      </w:pPr>
      <w:r>
        <w:rPr>
          <w:rFonts w:ascii="Calibri" w:eastAsia="Calibri" w:hAnsi="Calibri" w:cs="Calibri"/>
        </w:rPr>
        <w:t>La adjudicación definitiva y formal del proyecto, así como de los fondos asociados queda sancionada única y exclusivamente a través del decreto exento de adjudicación, j</w:t>
      </w:r>
      <w:r>
        <w:rPr>
          <w:rFonts w:ascii="Calibri" w:eastAsia="Calibri" w:hAnsi="Calibri" w:cs="Calibri"/>
          <w:highlight w:val="white"/>
        </w:rPr>
        <w:t xml:space="preserve">unto a la suscripción y entrega a la DGVM, de la carta de </w:t>
      </w:r>
      <w:r>
        <w:rPr>
          <w:rFonts w:ascii="Calibri" w:eastAsia="Calibri" w:hAnsi="Calibri" w:cs="Calibri"/>
        </w:rPr>
        <w:t xml:space="preserve">compromiso firmada por cada miembro del equipo </w:t>
      </w:r>
      <w:r>
        <w:rPr>
          <w:rFonts w:ascii="Calibri" w:eastAsia="Calibri" w:hAnsi="Calibri" w:cs="Calibri"/>
          <w:highlight w:val="white"/>
        </w:rPr>
        <w:t>(</w:t>
      </w:r>
      <w:r>
        <w:rPr>
          <w:rFonts w:ascii="Calibri" w:eastAsia="Calibri" w:hAnsi="Calibri" w:cs="Calibri"/>
        </w:rPr>
        <w:t xml:space="preserve">Anexo Nº5), </w:t>
      </w:r>
      <w:r>
        <w:rPr>
          <w:rFonts w:ascii="Calibri" w:eastAsia="Calibri" w:hAnsi="Calibri" w:cs="Calibri"/>
          <w:highlight w:val="white"/>
        </w:rPr>
        <w:t>con el objetivo de asegurar la correcta gestión y rendición de los montos adjudicados</w:t>
      </w:r>
      <w:r>
        <w:rPr>
          <w:rFonts w:ascii="Calibri" w:eastAsia="Calibri" w:hAnsi="Calibri" w:cs="Calibri"/>
          <w:highlight w:val="white"/>
          <w:vertAlign w:val="superscript"/>
        </w:rPr>
        <w:footnoteReference w:id="18"/>
      </w:r>
      <w:r>
        <w:rPr>
          <w:rFonts w:ascii="Calibri" w:eastAsia="Calibri" w:hAnsi="Calibri" w:cs="Calibri"/>
          <w:highlight w:val="white"/>
        </w:rPr>
        <w:t xml:space="preserve">. </w:t>
      </w:r>
    </w:p>
    <w:p w:rsidR="00732844" w:rsidRDefault="00C152D7">
      <w:pPr>
        <w:spacing w:after="160"/>
        <w:jc w:val="both"/>
        <w:rPr>
          <w:rFonts w:ascii="Calibri" w:eastAsia="Calibri" w:hAnsi="Calibri" w:cs="Calibri"/>
          <w:highlight w:val="white"/>
        </w:rPr>
      </w:pPr>
      <w:bookmarkStart w:id="4" w:name="_heading=h.30j0zll" w:colFirst="0" w:colLast="0"/>
      <w:bookmarkEnd w:id="4"/>
      <w:r>
        <w:rPr>
          <w:rFonts w:ascii="Calibri" w:eastAsia="Calibri" w:hAnsi="Calibri" w:cs="Calibri"/>
          <w:highlight w:val="white"/>
        </w:rPr>
        <w:t xml:space="preserve">Los recursos obtenidos deben ser destinados exclusivamente al desarrollo de las actividades señaladas en el proyecto y de acuerdo a lo especificado en el documento orientador, justificando con anticipación cualquier cambio en la ejecución de dichas actividades, el cual deberá ser aceptado por la DGVM. </w:t>
      </w:r>
    </w:p>
    <w:p w:rsidR="00732844" w:rsidRDefault="00C152D7">
      <w:pPr>
        <w:spacing w:after="160"/>
        <w:jc w:val="both"/>
        <w:rPr>
          <w:rFonts w:ascii="Calibri" w:eastAsia="Calibri" w:hAnsi="Calibri" w:cs="Calibri"/>
          <w:highlight w:val="white"/>
        </w:rPr>
      </w:pPr>
      <w:bookmarkStart w:id="5" w:name="_heading=h.d9ooivo689n" w:colFirst="0" w:colLast="0"/>
      <w:bookmarkEnd w:id="5"/>
      <w:r>
        <w:br w:type="page"/>
      </w:r>
    </w:p>
    <w:p w:rsidR="00732844" w:rsidRDefault="00C152D7">
      <w:pPr>
        <w:spacing w:after="160"/>
        <w:jc w:val="both"/>
        <w:rPr>
          <w:rFonts w:ascii="Calibri" w:eastAsia="Calibri" w:hAnsi="Calibri" w:cs="Calibri"/>
          <w:highlight w:val="white"/>
        </w:rPr>
      </w:pPr>
      <w:r>
        <w:rPr>
          <w:rFonts w:ascii="Calibri" w:eastAsia="Calibri" w:hAnsi="Calibri" w:cs="Calibri"/>
          <w:highlight w:val="white"/>
        </w:rPr>
        <w:lastRenderedPageBreak/>
        <w:t xml:space="preserve">Los recursos deberán centrarse en los siguientes ítems, considerando el porcentaje tope en relación al total adjudicado: </w:t>
      </w:r>
    </w:p>
    <w:tbl>
      <w:tblPr>
        <w:tblStyle w:val="a6"/>
        <w:tblW w:w="9918" w:type="dxa"/>
        <w:tblInd w:w="-28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1697"/>
        <w:gridCol w:w="2268"/>
        <w:gridCol w:w="3544"/>
        <w:gridCol w:w="1134"/>
        <w:gridCol w:w="1275"/>
      </w:tblGrid>
      <w:tr w:rsidR="00732844">
        <w:trPr>
          <w:trHeight w:val="1319"/>
        </w:trPr>
        <w:tc>
          <w:tcPr>
            <w:tcW w:w="1697" w:type="dxa"/>
            <w:shd w:val="clear" w:color="auto" w:fill="D5DCE4"/>
            <w:vAlign w:val="center"/>
          </w:tcPr>
          <w:p w:rsidR="00732844" w:rsidRDefault="00C152D7">
            <w:pPr>
              <w:spacing w:before="120" w:after="120"/>
              <w:jc w:val="center"/>
              <w:rPr>
                <w:b/>
                <w:color w:val="000000"/>
                <w:sz w:val="18"/>
                <w:szCs w:val="18"/>
              </w:rPr>
            </w:pPr>
            <w:r>
              <w:t xml:space="preserve">     </w:t>
            </w:r>
            <w:r>
              <w:rPr>
                <w:b/>
                <w:color w:val="000000"/>
                <w:sz w:val="18"/>
                <w:szCs w:val="18"/>
              </w:rPr>
              <w:t>Ítem</w:t>
            </w:r>
          </w:p>
        </w:tc>
        <w:tc>
          <w:tcPr>
            <w:tcW w:w="2268" w:type="dxa"/>
            <w:shd w:val="clear" w:color="auto" w:fill="D5DCE4"/>
            <w:vAlign w:val="center"/>
          </w:tcPr>
          <w:p w:rsidR="00732844" w:rsidRDefault="00C152D7">
            <w:pPr>
              <w:spacing w:before="120" w:after="120"/>
              <w:jc w:val="center"/>
              <w:rPr>
                <w:b/>
                <w:color w:val="000000"/>
                <w:sz w:val="18"/>
                <w:szCs w:val="18"/>
              </w:rPr>
            </w:pPr>
            <w:proofErr w:type="spellStart"/>
            <w:r>
              <w:rPr>
                <w:b/>
                <w:color w:val="000000"/>
                <w:sz w:val="18"/>
                <w:szCs w:val="18"/>
              </w:rPr>
              <w:t>Subítem</w:t>
            </w:r>
            <w:proofErr w:type="spellEnd"/>
          </w:p>
        </w:tc>
        <w:tc>
          <w:tcPr>
            <w:tcW w:w="3544" w:type="dxa"/>
            <w:shd w:val="clear" w:color="auto" w:fill="D5DCE4"/>
            <w:vAlign w:val="center"/>
          </w:tcPr>
          <w:p w:rsidR="00732844" w:rsidRDefault="00C152D7">
            <w:pPr>
              <w:spacing w:before="120" w:after="120"/>
              <w:jc w:val="center"/>
              <w:rPr>
                <w:b/>
                <w:color w:val="000000"/>
                <w:sz w:val="18"/>
                <w:szCs w:val="18"/>
              </w:rPr>
            </w:pPr>
            <w:r>
              <w:rPr>
                <w:b/>
                <w:color w:val="000000"/>
                <w:sz w:val="18"/>
                <w:szCs w:val="18"/>
              </w:rPr>
              <w:t>Gasto</w:t>
            </w:r>
          </w:p>
        </w:tc>
        <w:tc>
          <w:tcPr>
            <w:tcW w:w="1134" w:type="dxa"/>
            <w:shd w:val="clear" w:color="auto" w:fill="D5DCE4"/>
          </w:tcPr>
          <w:p w:rsidR="00732844" w:rsidRDefault="00C152D7">
            <w:pPr>
              <w:spacing w:before="120" w:after="120"/>
              <w:jc w:val="center"/>
              <w:rPr>
                <w:b/>
                <w:color w:val="000000"/>
                <w:sz w:val="18"/>
                <w:szCs w:val="18"/>
              </w:rPr>
            </w:pPr>
            <w:r>
              <w:rPr>
                <w:b/>
                <w:sz w:val="18"/>
                <w:szCs w:val="18"/>
              </w:rPr>
              <w:t>Código MMM</w:t>
            </w:r>
          </w:p>
        </w:tc>
        <w:tc>
          <w:tcPr>
            <w:tcW w:w="1275" w:type="dxa"/>
            <w:shd w:val="clear" w:color="auto" w:fill="D5DCE4"/>
          </w:tcPr>
          <w:p w:rsidR="00732844" w:rsidRDefault="00C152D7">
            <w:pPr>
              <w:spacing w:before="120" w:after="120"/>
              <w:jc w:val="center"/>
              <w:rPr>
                <w:b/>
                <w:sz w:val="18"/>
                <w:szCs w:val="18"/>
              </w:rPr>
            </w:pPr>
            <w:r>
              <w:rPr>
                <w:b/>
                <w:sz w:val="18"/>
                <w:szCs w:val="18"/>
              </w:rPr>
              <w:t>Porcentaje máximo del total disponible (%)</w:t>
            </w:r>
          </w:p>
        </w:tc>
      </w:tr>
      <w:tr w:rsidR="00732844">
        <w:trPr>
          <w:trHeight w:val="1239"/>
        </w:trPr>
        <w:tc>
          <w:tcPr>
            <w:tcW w:w="1697" w:type="dxa"/>
            <w:shd w:val="clear" w:color="auto" w:fill="D5DCE4"/>
            <w:vAlign w:val="center"/>
          </w:tcPr>
          <w:p w:rsidR="00732844" w:rsidRDefault="00C152D7">
            <w:pPr>
              <w:spacing w:before="120" w:after="120"/>
              <w:rPr>
                <w:b/>
                <w:sz w:val="18"/>
                <w:szCs w:val="18"/>
              </w:rPr>
            </w:pPr>
            <w:r>
              <w:rPr>
                <w:sz w:val="18"/>
                <w:szCs w:val="18"/>
              </w:rPr>
              <w:t xml:space="preserve">Recursos humanos </w:t>
            </w:r>
          </w:p>
        </w:tc>
        <w:tc>
          <w:tcPr>
            <w:tcW w:w="2268" w:type="dxa"/>
            <w:shd w:val="clear" w:color="auto" w:fill="D5DCE4"/>
            <w:vAlign w:val="center"/>
          </w:tcPr>
          <w:p w:rsidR="00732844" w:rsidRDefault="00C152D7">
            <w:pPr>
              <w:rPr>
                <w:color w:val="000000"/>
                <w:sz w:val="18"/>
                <w:szCs w:val="18"/>
              </w:rPr>
            </w:pPr>
            <w:r>
              <w:rPr>
                <w:sz w:val="18"/>
                <w:szCs w:val="18"/>
              </w:rPr>
              <w:t>(Honorarios</w:t>
            </w:r>
            <w:r>
              <w:rPr>
                <w:sz w:val="18"/>
                <w:szCs w:val="18"/>
                <w:vertAlign w:val="superscript"/>
              </w:rPr>
              <w:footnoteReference w:id="19"/>
            </w:r>
            <w:r>
              <w:rPr>
                <w:sz w:val="18"/>
                <w:szCs w:val="18"/>
              </w:rPr>
              <w:t>)</w:t>
            </w:r>
          </w:p>
        </w:tc>
        <w:tc>
          <w:tcPr>
            <w:tcW w:w="3544" w:type="dxa"/>
            <w:shd w:val="clear" w:color="auto" w:fill="FFFFFF"/>
            <w:vAlign w:val="center"/>
          </w:tcPr>
          <w:p w:rsidR="00732844" w:rsidRDefault="00C152D7">
            <w:pPr>
              <w:spacing w:before="120" w:after="120"/>
              <w:rPr>
                <w:sz w:val="18"/>
                <w:szCs w:val="18"/>
              </w:rPr>
            </w:pPr>
            <w:r>
              <w:rPr>
                <w:color w:val="000000"/>
                <w:sz w:val="18"/>
                <w:szCs w:val="18"/>
              </w:rPr>
              <w:t xml:space="preserve">Contratación de </w:t>
            </w:r>
            <w:r>
              <w:rPr>
                <w:sz w:val="18"/>
                <w:szCs w:val="18"/>
              </w:rPr>
              <w:t>servicios profesionales u oficios que el equipo no pueda cumplir.</w:t>
            </w:r>
          </w:p>
        </w:tc>
        <w:tc>
          <w:tcPr>
            <w:tcW w:w="1134" w:type="dxa"/>
            <w:shd w:val="clear" w:color="auto" w:fill="FFFFFF"/>
            <w:vAlign w:val="center"/>
          </w:tcPr>
          <w:p w:rsidR="00732844" w:rsidRDefault="00C152D7">
            <w:pPr>
              <w:spacing w:before="120" w:after="120"/>
              <w:jc w:val="center"/>
              <w:rPr>
                <w:color w:val="000000"/>
                <w:sz w:val="18"/>
                <w:szCs w:val="18"/>
              </w:rPr>
            </w:pPr>
            <w:r>
              <w:rPr>
                <w:sz w:val="18"/>
                <w:szCs w:val="18"/>
              </w:rPr>
              <w:t>2145</w:t>
            </w:r>
          </w:p>
        </w:tc>
        <w:tc>
          <w:tcPr>
            <w:tcW w:w="1275" w:type="dxa"/>
            <w:shd w:val="clear" w:color="auto" w:fill="FFFFFF"/>
            <w:vAlign w:val="center"/>
          </w:tcPr>
          <w:p w:rsidR="00732844" w:rsidRDefault="00C152D7">
            <w:pPr>
              <w:spacing w:before="120" w:after="120"/>
              <w:jc w:val="center"/>
              <w:rPr>
                <w:b/>
                <w:color w:val="000000"/>
                <w:sz w:val="18"/>
                <w:szCs w:val="18"/>
              </w:rPr>
            </w:pPr>
            <w:r>
              <w:rPr>
                <w:b/>
                <w:sz w:val="18"/>
                <w:szCs w:val="18"/>
              </w:rPr>
              <w:t>30</w:t>
            </w:r>
            <w:r>
              <w:rPr>
                <w:b/>
                <w:color w:val="000000"/>
                <w:sz w:val="18"/>
                <w:szCs w:val="18"/>
              </w:rPr>
              <w:t>%</w:t>
            </w:r>
          </w:p>
        </w:tc>
      </w:tr>
      <w:tr w:rsidR="00732844">
        <w:trPr>
          <w:trHeight w:val="457"/>
        </w:trPr>
        <w:tc>
          <w:tcPr>
            <w:tcW w:w="1697" w:type="dxa"/>
            <w:vMerge w:val="restart"/>
            <w:shd w:val="clear" w:color="auto" w:fill="D5DCE4"/>
            <w:vAlign w:val="center"/>
          </w:tcPr>
          <w:p w:rsidR="00732844" w:rsidRDefault="00C152D7">
            <w:pPr>
              <w:spacing w:before="120" w:after="120"/>
              <w:rPr>
                <w:sz w:val="18"/>
                <w:szCs w:val="18"/>
              </w:rPr>
            </w:pPr>
            <w:r>
              <w:rPr>
                <w:sz w:val="18"/>
                <w:szCs w:val="18"/>
              </w:rPr>
              <w:t>Gastos académicos</w:t>
            </w:r>
          </w:p>
          <w:p w:rsidR="00732844" w:rsidRDefault="00732844">
            <w:pPr>
              <w:spacing w:before="120" w:after="120"/>
              <w:rPr>
                <w:b/>
                <w:sz w:val="18"/>
                <w:szCs w:val="18"/>
              </w:rPr>
            </w:pPr>
          </w:p>
        </w:tc>
        <w:tc>
          <w:tcPr>
            <w:tcW w:w="2268" w:type="dxa"/>
            <w:vMerge w:val="restart"/>
            <w:shd w:val="clear" w:color="auto" w:fill="D5DCE4"/>
            <w:vAlign w:val="center"/>
          </w:tcPr>
          <w:p w:rsidR="00732844" w:rsidRDefault="00C152D7">
            <w:pPr>
              <w:spacing w:before="120" w:after="120"/>
              <w:rPr>
                <w:color w:val="000000"/>
                <w:sz w:val="18"/>
                <w:szCs w:val="18"/>
              </w:rPr>
            </w:pPr>
            <w:proofErr w:type="spellStart"/>
            <w:r>
              <w:rPr>
                <w:sz w:val="18"/>
                <w:szCs w:val="18"/>
              </w:rPr>
              <w:t>Org</w:t>
            </w:r>
            <w:proofErr w:type="spellEnd"/>
            <w:r>
              <w:rPr>
                <w:sz w:val="18"/>
                <w:szCs w:val="18"/>
              </w:rPr>
              <w:t xml:space="preserve">. de actividades, talleres y seminarios. </w:t>
            </w:r>
          </w:p>
        </w:tc>
        <w:tc>
          <w:tcPr>
            <w:tcW w:w="3544" w:type="dxa"/>
            <w:vMerge w:val="restart"/>
            <w:tcBorders>
              <w:bottom w:val="single" w:sz="4" w:space="0" w:color="A6A6A6"/>
            </w:tcBorders>
            <w:shd w:val="clear" w:color="auto" w:fill="FFFFFF"/>
            <w:vAlign w:val="center"/>
          </w:tcPr>
          <w:p w:rsidR="00732844" w:rsidRDefault="00C152D7">
            <w:pPr>
              <w:spacing w:before="120" w:after="120"/>
              <w:rPr>
                <w:sz w:val="18"/>
                <w:szCs w:val="18"/>
              </w:rPr>
            </w:pPr>
            <w:r>
              <w:rPr>
                <w:sz w:val="18"/>
                <w:szCs w:val="18"/>
              </w:rPr>
              <w:t>Servicios de alimentación, colaciones, almuerzos.</w:t>
            </w:r>
          </w:p>
        </w:tc>
        <w:tc>
          <w:tcPr>
            <w:tcW w:w="1134" w:type="dxa"/>
            <w:vMerge w:val="restart"/>
            <w:tcBorders>
              <w:bottom w:val="single" w:sz="4" w:space="0" w:color="A6A6A6"/>
            </w:tcBorders>
            <w:shd w:val="clear" w:color="auto" w:fill="FFFFFF"/>
            <w:vAlign w:val="center"/>
          </w:tcPr>
          <w:p w:rsidR="00732844" w:rsidRDefault="00732844">
            <w:pPr>
              <w:spacing w:before="120" w:after="120"/>
              <w:rPr>
                <w:sz w:val="18"/>
                <w:szCs w:val="18"/>
              </w:rPr>
            </w:pPr>
          </w:p>
          <w:p w:rsidR="00732844" w:rsidRDefault="00C152D7">
            <w:pPr>
              <w:spacing w:before="120" w:after="120"/>
              <w:jc w:val="center"/>
              <w:rPr>
                <w:sz w:val="18"/>
                <w:szCs w:val="18"/>
              </w:rPr>
            </w:pPr>
            <w:r>
              <w:rPr>
                <w:sz w:val="18"/>
                <w:szCs w:val="18"/>
              </w:rPr>
              <w:t>2245</w:t>
            </w:r>
          </w:p>
        </w:tc>
        <w:tc>
          <w:tcPr>
            <w:tcW w:w="1275" w:type="dxa"/>
            <w:vMerge w:val="restart"/>
            <w:tcBorders>
              <w:top w:val="single" w:sz="4" w:space="0" w:color="A6A6A6"/>
            </w:tcBorders>
            <w:shd w:val="clear" w:color="auto" w:fill="FFFFFF"/>
            <w:vAlign w:val="center"/>
          </w:tcPr>
          <w:p w:rsidR="00732844" w:rsidRDefault="00C152D7">
            <w:pPr>
              <w:spacing w:before="120" w:after="120"/>
              <w:jc w:val="center"/>
              <w:rPr>
                <w:b/>
                <w:color w:val="000000"/>
                <w:sz w:val="18"/>
                <w:szCs w:val="18"/>
              </w:rPr>
            </w:pPr>
            <w:r>
              <w:rPr>
                <w:b/>
                <w:sz w:val="18"/>
                <w:szCs w:val="18"/>
              </w:rPr>
              <w:t>35</w:t>
            </w:r>
            <w:r>
              <w:rPr>
                <w:b/>
                <w:color w:val="000000"/>
                <w:sz w:val="18"/>
                <w:szCs w:val="18"/>
              </w:rPr>
              <w:t>%</w:t>
            </w:r>
          </w:p>
        </w:tc>
      </w:tr>
      <w:tr w:rsidR="00732844">
        <w:trPr>
          <w:trHeight w:val="457"/>
        </w:trPr>
        <w:tc>
          <w:tcPr>
            <w:tcW w:w="1697" w:type="dxa"/>
            <w:vMerge/>
            <w:shd w:val="clear" w:color="auto" w:fill="D5DCE4"/>
            <w:vAlign w:val="center"/>
          </w:tcPr>
          <w:p w:rsidR="00732844" w:rsidRDefault="00732844">
            <w:pPr>
              <w:widowControl w:val="0"/>
              <w:pBdr>
                <w:top w:val="nil"/>
                <w:left w:val="nil"/>
                <w:bottom w:val="nil"/>
                <w:right w:val="nil"/>
                <w:between w:val="nil"/>
              </w:pBdr>
              <w:rPr>
                <w:b/>
                <w:color w:val="000000"/>
                <w:sz w:val="18"/>
                <w:szCs w:val="18"/>
              </w:rPr>
            </w:pPr>
          </w:p>
        </w:tc>
        <w:tc>
          <w:tcPr>
            <w:tcW w:w="2268" w:type="dxa"/>
            <w:vMerge/>
            <w:shd w:val="clear" w:color="auto" w:fill="D5DCE4"/>
            <w:vAlign w:val="center"/>
          </w:tcPr>
          <w:p w:rsidR="00732844" w:rsidRDefault="00732844">
            <w:pPr>
              <w:widowControl w:val="0"/>
              <w:pBdr>
                <w:top w:val="nil"/>
                <w:left w:val="nil"/>
                <w:bottom w:val="nil"/>
                <w:right w:val="nil"/>
                <w:between w:val="nil"/>
              </w:pBdr>
              <w:rPr>
                <w:b/>
                <w:color w:val="000000"/>
                <w:sz w:val="18"/>
                <w:szCs w:val="18"/>
              </w:rPr>
            </w:pPr>
          </w:p>
        </w:tc>
        <w:tc>
          <w:tcPr>
            <w:tcW w:w="3544" w:type="dxa"/>
            <w:vMerge/>
            <w:tcBorders>
              <w:bottom w:val="single" w:sz="4" w:space="0" w:color="A6A6A6"/>
            </w:tcBorders>
            <w:shd w:val="clear" w:color="auto" w:fill="FFFFFF"/>
            <w:vAlign w:val="center"/>
          </w:tcPr>
          <w:p w:rsidR="00732844" w:rsidRDefault="00732844">
            <w:pPr>
              <w:widowControl w:val="0"/>
              <w:pBdr>
                <w:top w:val="nil"/>
                <w:left w:val="nil"/>
                <w:bottom w:val="nil"/>
                <w:right w:val="nil"/>
                <w:between w:val="nil"/>
              </w:pBdr>
              <w:rPr>
                <w:b/>
                <w:color w:val="000000"/>
                <w:sz w:val="18"/>
                <w:szCs w:val="18"/>
              </w:rPr>
            </w:pPr>
          </w:p>
        </w:tc>
        <w:tc>
          <w:tcPr>
            <w:tcW w:w="1134" w:type="dxa"/>
            <w:vMerge/>
            <w:tcBorders>
              <w:bottom w:val="single" w:sz="4" w:space="0" w:color="A6A6A6"/>
            </w:tcBorders>
            <w:shd w:val="clear" w:color="auto" w:fill="FFFFFF"/>
            <w:vAlign w:val="center"/>
          </w:tcPr>
          <w:p w:rsidR="00732844" w:rsidRDefault="00732844">
            <w:pPr>
              <w:widowControl w:val="0"/>
              <w:pBdr>
                <w:top w:val="nil"/>
                <w:left w:val="nil"/>
                <w:bottom w:val="nil"/>
                <w:right w:val="nil"/>
                <w:between w:val="nil"/>
              </w:pBdr>
              <w:rPr>
                <w:b/>
                <w:color w:val="000000"/>
                <w:sz w:val="18"/>
                <w:szCs w:val="18"/>
              </w:rPr>
            </w:pPr>
          </w:p>
        </w:tc>
        <w:tc>
          <w:tcPr>
            <w:tcW w:w="1275" w:type="dxa"/>
            <w:vMerge/>
            <w:tcBorders>
              <w:top w:val="single" w:sz="4" w:space="0" w:color="A6A6A6"/>
            </w:tcBorders>
            <w:shd w:val="clear" w:color="auto" w:fill="FFFFFF"/>
            <w:vAlign w:val="center"/>
          </w:tcPr>
          <w:p w:rsidR="00732844" w:rsidRDefault="00732844">
            <w:pPr>
              <w:widowControl w:val="0"/>
              <w:pBdr>
                <w:top w:val="nil"/>
                <w:left w:val="nil"/>
                <w:bottom w:val="nil"/>
                <w:right w:val="nil"/>
                <w:between w:val="nil"/>
              </w:pBdr>
              <w:rPr>
                <w:b/>
                <w:color w:val="000000"/>
                <w:sz w:val="18"/>
                <w:szCs w:val="18"/>
              </w:rPr>
            </w:pPr>
          </w:p>
        </w:tc>
      </w:tr>
      <w:tr w:rsidR="00732844">
        <w:trPr>
          <w:trHeight w:val="765"/>
        </w:trPr>
        <w:tc>
          <w:tcPr>
            <w:tcW w:w="1697" w:type="dxa"/>
            <w:vMerge/>
            <w:shd w:val="clear" w:color="auto" w:fill="D5DCE4"/>
            <w:vAlign w:val="center"/>
          </w:tcPr>
          <w:p w:rsidR="00732844" w:rsidRDefault="00732844">
            <w:pPr>
              <w:widowControl w:val="0"/>
              <w:pBdr>
                <w:top w:val="nil"/>
                <w:left w:val="nil"/>
                <w:bottom w:val="nil"/>
                <w:right w:val="nil"/>
                <w:between w:val="nil"/>
              </w:pBdr>
              <w:rPr>
                <w:b/>
                <w:color w:val="000000"/>
                <w:sz w:val="18"/>
                <w:szCs w:val="18"/>
              </w:rPr>
            </w:pPr>
          </w:p>
        </w:tc>
        <w:tc>
          <w:tcPr>
            <w:tcW w:w="2268" w:type="dxa"/>
            <w:vMerge/>
            <w:shd w:val="clear" w:color="auto" w:fill="D5DCE4"/>
            <w:vAlign w:val="center"/>
          </w:tcPr>
          <w:p w:rsidR="00732844" w:rsidRDefault="00732844">
            <w:pPr>
              <w:widowControl w:val="0"/>
              <w:pBdr>
                <w:top w:val="nil"/>
                <w:left w:val="nil"/>
                <w:bottom w:val="nil"/>
                <w:right w:val="nil"/>
                <w:between w:val="nil"/>
              </w:pBdr>
              <w:rPr>
                <w:b/>
                <w:color w:val="000000"/>
                <w:sz w:val="18"/>
                <w:szCs w:val="18"/>
              </w:rPr>
            </w:pPr>
          </w:p>
        </w:tc>
        <w:tc>
          <w:tcPr>
            <w:tcW w:w="3544" w:type="dxa"/>
            <w:tcBorders>
              <w:top w:val="single" w:sz="4" w:space="0" w:color="A6A6A6"/>
              <w:bottom w:val="single" w:sz="4" w:space="0" w:color="A6A6A6"/>
            </w:tcBorders>
            <w:shd w:val="clear" w:color="auto" w:fill="FFFFFF"/>
            <w:vAlign w:val="center"/>
          </w:tcPr>
          <w:p w:rsidR="00732844" w:rsidRDefault="00C152D7">
            <w:pPr>
              <w:rPr>
                <w:color w:val="000000"/>
                <w:sz w:val="18"/>
                <w:szCs w:val="18"/>
              </w:rPr>
            </w:pPr>
            <w:r>
              <w:rPr>
                <w:sz w:val="18"/>
                <w:szCs w:val="18"/>
              </w:rPr>
              <w:t>Movilización</w:t>
            </w:r>
            <w:r>
              <w:rPr>
                <w:sz w:val="18"/>
                <w:szCs w:val="18"/>
                <w:vertAlign w:val="superscript"/>
              </w:rPr>
              <w:footnoteReference w:id="20"/>
            </w:r>
            <w:r>
              <w:rPr>
                <w:sz w:val="18"/>
                <w:szCs w:val="18"/>
              </w:rPr>
              <w:t xml:space="preserve"> (arriendo de servicio de transporte)</w:t>
            </w:r>
          </w:p>
        </w:tc>
        <w:tc>
          <w:tcPr>
            <w:tcW w:w="1134" w:type="dxa"/>
            <w:tcBorders>
              <w:top w:val="single" w:sz="4" w:space="0" w:color="A6A6A6"/>
              <w:bottom w:val="single" w:sz="4" w:space="0" w:color="A6A6A6"/>
            </w:tcBorders>
            <w:shd w:val="clear" w:color="auto" w:fill="FFFFFF"/>
            <w:vAlign w:val="center"/>
          </w:tcPr>
          <w:p w:rsidR="00732844" w:rsidRDefault="00C152D7">
            <w:pPr>
              <w:jc w:val="center"/>
              <w:rPr>
                <w:color w:val="000000"/>
                <w:sz w:val="18"/>
                <w:szCs w:val="18"/>
              </w:rPr>
            </w:pPr>
            <w:r>
              <w:rPr>
                <w:sz w:val="18"/>
                <w:szCs w:val="18"/>
              </w:rPr>
              <w:t>2222</w:t>
            </w:r>
          </w:p>
        </w:tc>
        <w:tc>
          <w:tcPr>
            <w:tcW w:w="1275" w:type="dxa"/>
            <w:vMerge/>
            <w:tcBorders>
              <w:top w:val="single" w:sz="4" w:space="0" w:color="A6A6A6"/>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380"/>
        </w:trPr>
        <w:tc>
          <w:tcPr>
            <w:tcW w:w="1697" w:type="dxa"/>
            <w:vMerge/>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2268" w:type="dxa"/>
            <w:vMerge w:val="restart"/>
            <w:shd w:val="clear" w:color="auto" w:fill="D5DCE4"/>
            <w:vAlign w:val="center"/>
          </w:tcPr>
          <w:p w:rsidR="00732844" w:rsidRDefault="00C152D7">
            <w:pPr>
              <w:widowControl w:val="0"/>
              <w:pBdr>
                <w:top w:val="nil"/>
                <w:left w:val="nil"/>
                <w:bottom w:val="nil"/>
                <w:right w:val="nil"/>
                <w:between w:val="nil"/>
              </w:pBdr>
              <w:rPr>
                <w:color w:val="000000"/>
                <w:sz w:val="18"/>
                <w:szCs w:val="18"/>
              </w:rPr>
            </w:pPr>
            <w:r>
              <w:rPr>
                <w:sz w:val="18"/>
                <w:szCs w:val="18"/>
              </w:rPr>
              <w:t>Asistencia a reuniones y actividades académicas</w:t>
            </w:r>
          </w:p>
        </w:tc>
        <w:tc>
          <w:tcPr>
            <w:tcW w:w="3544" w:type="dxa"/>
            <w:tcBorders>
              <w:top w:val="single" w:sz="4" w:space="0" w:color="A6A6A6"/>
            </w:tcBorders>
            <w:shd w:val="clear" w:color="auto" w:fill="FFFFFF"/>
            <w:vAlign w:val="center"/>
          </w:tcPr>
          <w:p w:rsidR="00732844" w:rsidRDefault="00C152D7">
            <w:pPr>
              <w:spacing w:before="120" w:after="120"/>
              <w:rPr>
                <w:color w:val="000000"/>
                <w:sz w:val="18"/>
                <w:szCs w:val="18"/>
              </w:rPr>
            </w:pPr>
            <w:r>
              <w:rPr>
                <w:sz w:val="18"/>
                <w:szCs w:val="18"/>
              </w:rPr>
              <w:t>Servicios de alimentación, colaciones, almuerzos.</w:t>
            </w:r>
          </w:p>
        </w:tc>
        <w:tc>
          <w:tcPr>
            <w:tcW w:w="1134" w:type="dxa"/>
            <w:tcBorders>
              <w:top w:val="single" w:sz="4" w:space="0" w:color="A6A6A6"/>
            </w:tcBorders>
            <w:shd w:val="clear" w:color="auto" w:fill="FFFFFF"/>
            <w:vAlign w:val="center"/>
          </w:tcPr>
          <w:p w:rsidR="00732844" w:rsidRDefault="00C152D7">
            <w:pPr>
              <w:jc w:val="center"/>
              <w:rPr>
                <w:color w:val="000000"/>
                <w:sz w:val="18"/>
                <w:szCs w:val="18"/>
              </w:rPr>
            </w:pPr>
            <w:r>
              <w:rPr>
                <w:sz w:val="18"/>
                <w:szCs w:val="18"/>
              </w:rPr>
              <w:t>2245</w:t>
            </w:r>
          </w:p>
        </w:tc>
        <w:tc>
          <w:tcPr>
            <w:tcW w:w="1275" w:type="dxa"/>
            <w:vMerge/>
            <w:tcBorders>
              <w:top w:val="single" w:sz="4" w:space="0" w:color="A6A6A6"/>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380"/>
        </w:trPr>
        <w:tc>
          <w:tcPr>
            <w:tcW w:w="1697" w:type="dxa"/>
            <w:vMerge/>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2268" w:type="dxa"/>
            <w:vMerge/>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3544" w:type="dxa"/>
            <w:vMerge w:val="restart"/>
            <w:tcBorders>
              <w:top w:val="single" w:sz="4" w:space="0" w:color="A6A6A6"/>
            </w:tcBorders>
            <w:shd w:val="clear" w:color="auto" w:fill="FFFFFF"/>
            <w:vAlign w:val="center"/>
          </w:tcPr>
          <w:p w:rsidR="00732844" w:rsidRDefault="00C152D7">
            <w:pPr>
              <w:rPr>
                <w:color w:val="000000"/>
                <w:sz w:val="18"/>
                <w:szCs w:val="18"/>
              </w:rPr>
            </w:pPr>
            <w:r>
              <w:rPr>
                <w:sz w:val="18"/>
                <w:szCs w:val="18"/>
              </w:rPr>
              <w:t>Movilización (arriendo de servicio de transporte)</w:t>
            </w:r>
          </w:p>
        </w:tc>
        <w:tc>
          <w:tcPr>
            <w:tcW w:w="1134" w:type="dxa"/>
            <w:vMerge w:val="restart"/>
            <w:tcBorders>
              <w:top w:val="single" w:sz="4" w:space="0" w:color="A6A6A6"/>
            </w:tcBorders>
            <w:shd w:val="clear" w:color="auto" w:fill="FFFFFF"/>
            <w:vAlign w:val="center"/>
          </w:tcPr>
          <w:p w:rsidR="00732844" w:rsidRDefault="00C152D7">
            <w:pPr>
              <w:jc w:val="center"/>
              <w:rPr>
                <w:color w:val="000000"/>
                <w:sz w:val="18"/>
                <w:szCs w:val="18"/>
              </w:rPr>
            </w:pPr>
            <w:r>
              <w:rPr>
                <w:sz w:val="18"/>
                <w:szCs w:val="18"/>
              </w:rPr>
              <w:t>2222</w:t>
            </w:r>
          </w:p>
        </w:tc>
        <w:tc>
          <w:tcPr>
            <w:tcW w:w="1275" w:type="dxa"/>
            <w:vMerge/>
            <w:tcBorders>
              <w:top w:val="single" w:sz="4" w:space="0" w:color="A6A6A6"/>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380"/>
        </w:trPr>
        <w:tc>
          <w:tcPr>
            <w:tcW w:w="1697" w:type="dxa"/>
            <w:vMerge/>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2268" w:type="dxa"/>
            <w:vMerge/>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3544" w:type="dxa"/>
            <w:vMerge/>
            <w:tcBorders>
              <w:top w:val="single" w:sz="4" w:space="0" w:color="A6A6A6"/>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c>
          <w:tcPr>
            <w:tcW w:w="1134" w:type="dxa"/>
            <w:vMerge/>
            <w:tcBorders>
              <w:top w:val="single" w:sz="4" w:space="0" w:color="A6A6A6"/>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c>
          <w:tcPr>
            <w:tcW w:w="1275" w:type="dxa"/>
            <w:vMerge/>
            <w:tcBorders>
              <w:top w:val="single" w:sz="4" w:space="0" w:color="A6A6A6"/>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1010"/>
        </w:trPr>
        <w:tc>
          <w:tcPr>
            <w:tcW w:w="1697" w:type="dxa"/>
            <w:vMerge w:val="restart"/>
            <w:tcBorders>
              <w:bottom w:val="single" w:sz="4" w:space="0" w:color="AEAAAA"/>
            </w:tcBorders>
            <w:shd w:val="clear" w:color="auto" w:fill="D5DCE4"/>
            <w:vAlign w:val="center"/>
          </w:tcPr>
          <w:p w:rsidR="00732844" w:rsidRDefault="00C152D7">
            <w:pPr>
              <w:spacing w:before="120" w:after="120"/>
              <w:rPr>
                <w:sz w:val="18"/>
                <w:szCs w:val="18"/>
              </w:rPr>
            </w:pPr>
            <w:r>
              <w:rPr>
                <w:sz w:val="18"/>
                <w:szCs w:val="18"/>
              </w:rPr>
              <w:t>Gastos de operación</w:t>
            </w:r>
          </w:p>
          <w:p w:rsidR="00732844" w:rsidRDefault="00732844">
            <w:pPr>
              <w:spacing w:before="120" w:after="120"/>
              <w:rPr>
                <w:b/>
                <w:sz w:val="18"/>
                <w:szCs w:val="18"/>
              </w:rPr>
            </w:pPr>
          </w:p>
        </w:tc>
        <w:tc>
          <w:tcPr>
            <w:tcW w:w="2268" w:type="dxa"/>
            <w:vMerge w:val="restart"/>
            <w:tcBorders>
              <w:bottom w:val="single" w:sz="4" w:space="0" w:color="AEAAAA"/>
            </w:tcBorders>
            <w:shd w:val="clear" w:color="auto" w:fill="D5DCE4"/>
            <w:vAlign w:val="center"/>
          </w:tcPr>
          <w:p w:rsidR="00732844" w:rsidRDefault="00C152D7">
            <w:pPr>
              <w:spacing w:before="120" w:after="120"/>
              <w:rPr>
                <w:color w:val="000000"/>
                <w:sz w:val="18"/>
                <w:szCs w:val="18"/>
              </w:rPr>
            </w:pPr>
            <w:r>
              <w:rPr>
                <w:color w:val="000000"/>
                <w:sz w:val="18"/>
                <w:szCs w:val="18"/>
              </w:rPr>
              <w:t>Bienes y servicios para la enseñanza</w:t>
            </w:r>
          </w:p>
        </w:tc>
        <w:tc>
          <w:tcPr>
            <w:tcW w:w="3544" w:type="dxa"/>
            <w:tcBorders>
              <w:bottom w:val="single" w:sz="4" w:space="0" w:color="AEAAAA"/>
            </w:tcBorders>
            <w:shd w:val="clear" w:color="auto" w:fill="FFFFFF"/>
          </w:tcPr>
          <w:p w:rsidR="00732844" w:rsidRDefault="00C152D7">
            <w:pPr>
              <w:rPr>
                <w:b/>
                <w:color w:val="000000"/>
                <w:sz w:val="18"/>
                <w:szCs w:val="18"/>
              </w:rPr>
            </w:pPr>
            <w:r>
              <w:rPr>
                <w:color w:val="000000"/>
                <w:sz w:val="18"/>
                <w:szCs w:val="18"/>
              </w:rPr>
              <w:t>Bienes para la enseñanza</w:t>
            </w:r>
            <w:r>
              <w:rPr>
                <w:color w:val="000000"/>
                <w:sz w:val="18"/>
                <w:szCs w:val="18"/>
                <w:vertAlign w:val="superscript"/>
              </w:rPr>
              <w:footnoteReference w:id="21"/>
            </w:r>
            <w:r>
              <w:rPr>
                <w:color w:val="000000"/>
                <w:sz w:val="18"/>
                <w:szCs w:val="18"/>
              </w:rPr>
              <w:t xml:space="preserve"> (material didáctico, cuadernos, papeles de dibujo, calco, láminas, artículos deportivos, etc.).</w:t>
            </w:r>
          </w:p>
        </w:tc>
        <w:tc>
          <w:tcPr>
            <w:tcW w:w="1134" w:type="dxa"/>
            <w:tcBorders>
              <w:bottom w:val="single" w:sz="4" w:space="0" w:color="AEAAAA"/>
            </w:tcBorders>
            <w:shd w:val="clear" w:color="auto" w:fill="FFFFFF"/>
            <w:vAlign w:val="center"/>
          </w:tcPr>
          <w:p w:rsidR="00732844" w:rsidRDefault="00C152D7">
            <w:pPr>
              <w:spacing w:before="120" w:after="120"/>
              <w:jc w:val="center"/>
              <w:rPr>
                <w:b/>
                <w:color w:val="000000"/>
                <w:sz w:val="18"/>
                <w:szCs w:val="18"/>
              </w:rPr>
            </w:pPr>
            <w:r>
              <w:rPr>
                <w:color w:val="000000"/>
                <w:sz w:val="18"/>
                <w:szCs w:val="18"/>
              </w:rPr>
              <w:t>2202</w:t>
            </w:r>
          </w:p>
        </w:tc>
        <w:tc>
          <w:tcPr>
            <w:tcW w:w="1275" w:type="dxa"/>
            <w:vMerge w:val="restart"/>
            <w:tcBorders>
              <w:bottom w:val="single" w:sz="4" w:space="0" w:color="AEAAAA"/>
            </w:tcBorders>
            <w:shd w:val="clear" w:color="auto" w:fill="FFFFFF"/>
            <w:vAlign w:val="center"/>
          </w:tcPr>
          <w:p w:rsidR="00732844" w:rsidRDefault="00C152D7">
            <w:pPr>
              <w:spacing w:before="120" w:after="120"/>
              <w:jc w:val="center"/>
              <w:rPr>
                <w:b/>
                <w:color w:val="000000"/>
                <w:sz w:val="18"/>
                <w:szCs w:val="18"/>
              </w:rPr>
            </w:pPr>
            <w:r>
              <w:rPr>
                <w:b/>
                <w:sz w:val="18"/>
                <w:szCs w:val="18"/>
              </w:rPr>
              <w:t>Sin tope</w:t>
            </w:r>
          </w:p>
        </w:tc>
      </w:tr>
      <w:tr w:rsidR="00732844">
        <w:trPr>
          <w:trHeight w:val="240"/>
        </w:trPr>
        <w:tc>
          <w:tcPr>
            <w:tcW w:w="1697" w:type="dxa"/>
            <w:vMerge/>
            <w:tcBorders>
              <w:bottom w:val="single" w:sz="4" w:space="0" w:color="AEAAAA"/>
            </w:tcBorders>
            <w:shd w:val="clear" w:color="auto" w:fill="D5DCE4"/>
            <w:vAlign w:val="center"/>
          </w:tcPr>
          <w:p w:rsidR="00732844" w:rsidRDefault="00732844">
            <w:pPr>
              <w:widowControl w:val="0"/>
              <w:pBdr>
                <w:top w:val="nil"/>
                <w:left w:val="nil"/>
                <w:bottom w:val="nil"/>
                <w:right w:val="nil"/>
                <w:between w:val="nil"/>
              </w:pBdr>
              <w:rPr>
                <w:b/>
                <w:color w:val="000000"/>
                <w:sz w:val="18"/>
                <w:szCs w:val="18"/>
              </w:rPr>
            </w:pPr>
          </w:p>
        </w:tc>
        <w:tc>
          <w:tcPr>
            <w:tcW w:w="2268" w:type="dxa"/>
            <w:vMerge/>
            <w:tcBorders>
              <w:bottom w:val="single" w:sz="4" w:space="0" w:color="AEAAAA"/>
            </w:tcBorders>
            <w:shd w:val="clear" w:color="auto" w:fill="D5DCE4"/>
            <w:vAlign w:val="center"/>
          </w:tcPr>
          <w:p w:rsidR="00732844" w:rsidRDefault="00732844">
            <w:pPr>
              <w:widowControl w:val="0"/>
              <w:pBdr>
                <w:top w:val="nil"/>
                <w:left w:val="nil"/>
                <w:bottom w:val="nil"/>
                <w:right w:val="nil"/>
                <w:between w:val="nil"/>
              </w:pBdr>
              <w:rPr>
                <w:b/>
                <w:color w:val="000000"/>
                <w:sz w:val="18"/>
                <w:szCs w:val="18"/>
              </w:rPr>
            </w:pPr>
          </w:p>
        </w:tc>
        <w:tc>
          <w:tcPr>
            <w:tcW w:w="3544" w:type="dxa"/>
            <w:tcBorders>
              <w:top w:val="single" w:sz="4" w:space="0" w:color="AEAAAA"/>
              <w:bottom w:val="single" w:sz="4" w:space="0" w:color="A6A6A6"/>
            </w:tcBorders>
            <w:shd w:val="clear" w:color="auto" w:fill="FFFFFF"/>
            <w:vAlign w:val="center"/>
          </w:tcPr>
          <w:p w:rsidR="00732844" w:rsidRDefault="00C152D7">
            <w:pPr>
              <w:rPr>
                <w:color w:val="000000"/>
                <w:sz w:val="18"/>
                <w:szCs w:val="18"/>
              </w:rPr>
            </w:pPr>
            <w:r>
              <w:rPr>
                <w:color w:val="000000"/>
                <w:sz w:val="18"/>
                <w:szCs w:val="18"/>
              </w:rPr>
              <w:t>Material Bibliográfico (</w:t>
            </w:r>
            <w:proofErr w:type="spellStart"/>
            <w:r>
              <w:rPr>
                <w:color w:val="000000"/>
                <w:sz w:val="18"/>
                <w:szCs w:val="18"/>
              </w:rPr>
              <w:t>inventariable</w:t>
            </w:r>
            <w:proofErr w:type="spellEnd"/>
            <w:r>
              <w:rPr>
                <w:color w:val="000000"/>
                <w:sz w:val="18"/>
                <w:szCs w:val="18"/>
                <w:vertAlign w:val="superscript"/>
              </w:rPr>
              <w:footnoteReference w:id="22"/>
            </w:r>
            <w:r>
              <w:rPr>
                <w:color w:val="000000"/>
                <w:sz w:val="18"/>
                <w:szCs w:val="18"/>
              </w:rPr>
              <w:t>)</w:t>
            </w:r>
          </w:p>
        </w:tc>
        <w:tc>
          <w:tcPr>
            <w:tcW w:w="1134" w:type="dxa"/>
            <w:tcBorders>
              <w:top w:val="single" w:sz="4" w:space="0" w:color="AEAAAA"/>
              <w:bottom w:val="single" w:sz="4" w:space="0" w:color="A6A6A6"/>
            </w:tcBorders>
            <w:shd w:val="clear" w:color="auto" w:fill="FFFFFF"/>
            <w:vAlign w:val="center"/>
          </w:tcPr>
          <w:p w:rsidR="00732844" w:rsidRDefault="00C152D7">
            <w:pPr>
              <w:spacing w:before="120" w:after="120"/>
              <w:jc w:val="center"/>
              <w:rPr>
                <w:color w:val="000000"/>
                <w:sz w:val="18"/>
                <w:szCs w:val="18"/>
              </w:rPr>
            </w:pPr>
            <w:r>
              <w:rPr>
                <w:color w:val="000000"/>
                <w:sz w:val="18"/>
                <w:szCs w:val="18"/>
              </w:rPr>
              <w:t>2200</w:t>
            </w:r>
          </w:p>
        </w:tc>
        <w:tc>
          <w:tcPr>
            <w:tcW w:w="1275" w:type="dxa"/>
            <w:vMerge/>
            <w:tcBorders>
              <w:bottom w:val="single" w:sz="4" w:space="0" w:color="AEAAAA"/>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381"/>
        </w:trPr>
        <w:tc>
          <w:tcPr>
            <w:tcW w:w="1697" w:type="dxa"/>
            <w:vMerge/>
            <w:tcBorders>
              <w:bottom w:val="single" w:sz="4" w:space="0" w:color="AEAAAA"/>
            </w:tcBorders>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2268" w:type="dxa"/>
            <w:vMerge w:val="restart"/>
            <w:shd w:val="clear" w:color="auto" w:fill="D5DCE4"/>
            <w:vAlign w:val="center"/>
          </w:tcPr>
          <w:p w:rsidR="00732844" w:rsidRDefault="00C152D7">
            <w:pPr>
              <w:spacing w:before="120" w:after="120"/>
              <w:rPr>
                <w:color w:val="000000"/>
                <w:sz w:val="18"/>
                <w:szCs w:val="18"/>
              </w:rPr>
            </w:pPr>
            <w:r>
              <w:rPr>
                <w:color w:val="000000"/>
                <w:sz w:val="18"/>
                <w:szCs w:val="18"/>
              </w:rPr>
              <w:t>Servicios de impresión, publicidad y difusión</w:t>
            </w:r>
          </w:p>
        </w:tc>
        <w:tc>
          <w:tcPr>
            <w:tcW w:w="3544" w:type="dxa"/>
            <w:tcBorders>
              <w:bottom w:val="single" w:sz="4" w:space="0" w:color="A6A6A6"/>
            </w:tcBorders>
            <w:shd w:val="clear" w:color="auto" w:fill="FFFFFF"/>
          </w:tcPr>
          <w:p w:rsidR="00732844" w:rsidRDefault="00C152D7">
            <w:pPr>
              <w:spacing w:before="120" w:after="120"/>
              <w:rPr>
                <w:color w:val="000000"/>
                <w:sz w:val="18"/>
                <w:szCs w:val="18"/>
              </w:rPr>
            </w:pPr>
            <w:r>
              <w:rPr>
                <w:color w:val="000000"/>
                <w:sz w:val="18"/>
                <w:szCs w:val="18"/>
              </w:rPr>
              <w:t xml:space="preserve">Impresiones </w:t>
            </w:r>
            <w:r>
              <w:rPr>
                <w:sz w:val="18"/>
                <w:szCs w:val="18"/>
              </w:rPr>
              <w:t xml:space="preserve">(artículos de </w:t>
            </w:r>
            <w:proofErr w:type="spellStart"/>
            <w:r>
              <w:rPr>
                <w:sz w:val="18"/>
                <w:szCs w:val="18"/>
              </w:rPr>
              <w:t>merchandise</w:t>
            </w:r>
            <w:proofErr w:type="spellEnd"/>
            <w:r>
              <w:rPr>
                <w:sz w:val="18"/>
                <w:szCs w:val="18"/>
              </w:rPr>
              <w:t>, pendones, logos, etc.)</w:t>
            </w:r>
          </w:p>
        </w:tc>
        <w:tc>
          <w:tcPr>
            <w:tcW w:w="1134" w:type="dxa"/>
            <w:tcBorders>
              <w:bottom w:val="single" w:sz="4" w:space="0" w:color="A6A6A6"/>
            </w:tcBorders>
            <w:shd w:val="clear" w:color="auto" w:fill="FFFFFF"/>
            <w:vAlign w:val="center"/>
          </w:tcPr>
          <w:p w:rsidR="00732844" w:rsidRDefault="00C152D7">
            <w:pPr>
              <w:spacing w:before="120" w:after="120"/>
              <w:jc w:val="center"/>
              <w:rPr>
                <w:color w:val="000000"/>
                <w:sz w:val="18"/>
                <w:szCs w:val="18"/>
              </w:rPr>
            </w:pPr>
            <w:r>
              <w:rPr>
                <w:color w:val="000000"/>
                <w:sz w:val="18"/>
                <w:szCs w:val="18"/>
              </w:rPr>
              <w:t>2210</w:t>
            </w:r>
          </w:p>
        </w:tc>
        <w:tc>
          <w:tcPr>
            <w:tcW w:w="1275" w:type="dxa"/>
            <w:vMerge/>
            <w:tcBorders>
              <w:bottom w:val="single" w:sz="4" w:space="0" w:color="AEAAAA"/>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420"/>
        </w:trPr>
        <w:tc>
          <w:tcPr>
            <w:tcW w:w="1697" w:type="dxa"/>
            <w:vMerge/>
            <w:tcBorders>
              <w:bottom w:val="single" w:sz="4" w:space="0" w:color="AEAAAA"/>
            </w:tcBorders>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2268" w:type="dxa"/>
            <w:vMerge/>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3544" w:type="dxa"/>
            <w:vMerge w:val="restart"/>
            <w:tcBorders>
              <w:top w:val="single" w:sz="4" w:space="0" w:color="A6A6A6"/>
              <w:bottom w:val="single" w:sz="4" w:space="0" w:color="A6A6A6"/>
            </w:tcBorders>
            <w:shd w:val="clear" w:color="auto" w:fill="FFFFFF"/>
          </w:tcPr>
          <w:p w:rsidR="00732844" w:rsidRDefault="00C152D7">
            <w:pPr>
              <w:spacing w:before="120" w:after="120"/>
              <w:rPr>
                <w:color w:val="000000"/>
                <w:sz w:val="18"/>
                <w:szCs w:val="18"/>
              </w:rPr>
            </w:pPr>
            <w:r>
              <w:rPr>
                <w:color w:val="000000"/>
                <w:sz w:val="18"/>
                <w:szCs w:val="18"/>
              </w:rPr>
              <w:t xml:space="preserve">Publicidad y difusión </w:t>
            </w:r>
            <w:r>
              <w:rPr>
                <w:sz w:val="18"/>
                <w:szCs w:val="18"/>
              </w:rPr>
              <w:t>(promoción en medios de comunicación, publicidad en RRSS)</w:t>
            </w:r>
          </w:p>
        </w:tc>
        <w:tc>
          <w:tcPr>
            <w:tcW w:w="1134" w:type="dxa"/>
            <w:vMerge w:val="restart"/>
            <w:tcBorders>
              <w:top w:val="single" w:sz="4" w:space="0" w:color="A6A6A6"/>
              <w:bottom w:val="single" w:sz="4" w:space="0" w:color="A6A6A6"/>
            </w:tcBorders>
            <w:shd w:val="clear" w:color="auto" w:fill="FFFFFF"/>
            <w:vAlign w:val="center"/>
          </w:tcPr>
          <w:p w:rsidR="00732844" w:rsidRDefault="00C152D7">
            <w:pPr>
              <w:spacing w:before="120" w:after="120"/>
              <w:jc w:val="center"/>
              <w:rPr>
                <w:color w:val="000000"/>
                <w:sz w:val="18"/>
                <w:szCs w:val="18"/>
              </w:rPr>
            </w:pPr>
            <w:r>
              <w:rPr>
                <w:color w:val="000000"/>
                <w:sz w:val="18"/>
                <w:szCs w:val="18"/>
              </w:rPr>
              <w:t>2211</w:t>
            </w:r>
          </w:p>
        </w:tc>
        <w:tc>
          <w:tcPr>
            <w:tcW w:w="1275" w:type="dxa"/>
            <w:vMerge/>
            <w:tcBorders>
              <w:bottom w:val="single" w:sz="4" w:space="0" w:color="AEAAAA"/>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420"/>
        </w:trPr>
        <w:tc>
          <w:tcPr>
            <w:tcW w:w="1697" w:type="dxa"/>
            <w:vMerge/>
            <w:tcBorders>
              <w:bottom w:val="single" w:sz="4" w:space="0" w:color="AEAAAA"/>
            </w:tcBorders>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2268" w:type="dxa"/>
            <w:vMerge/>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3544" w:type="dxa"/>
            <w:vMerge/>
            <w:tcBorders>
              <w:top w:val="single" w:sz="4" w:space="0" w:color="A6A6A6"/>
              <w:bottom w:val="single" w:sz="4" w:space="0" w:color="A6A6A6"/>
            </w:tcBorders>
            <w:shd w:val="clear" w:color="auto" w:fill="FFFFFF"/>
          </w:tcPr>
          <w:p w:rsidR="00732844" w:rsidRDefault="00732844">
            <w:pPr>
              <w:widowControl w:val="0"/>
              <w:pBdr>
                <w:top w:val="nil"/>
                <w:left w:val="nil"/>
                <w:bottom w:val="nil"/>
                <w:right w:val="nil"/>
                <w:between w:val="nil"/>
              </w:pBdr>
              <w:rPr>
                <w:color w:val="000000"/>
                <w:sz w:val="18"/>
                <w:szCs w:val="18"/>
              </w:rPr>
            </w:pPr>
          </w:p>
        </w:tc>
        <w:tc>
          <w:tcPr>
            <w:tcW w:w="1134" w:type="dxa"/>
            <w:vMerge/>
            <w:tcBorders>
              <w:top w:val="single" w:sz="4" w:space="0" w:color="A6A6A6"/>
              <w:bottom w:val="single" w:sz="4" w:space="0" w:color="A6A6A6"/>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c>
          <w:tcPr>
            <w:tcW w:w="1275" w:type="dxa"/>
            <w:vMerge/>
            <w:tcBorders>
              <w:bottom w:val="single" w:sz="4" w:space="0" w:color="AEAAAA"/>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r w:rsidR="00732844">
        <w:trPr>
          <w:trHeight w:val="420"/>
        </w:trPr>
        <w:tc>
          <w:tcPr>
            <w:tcW w:w="1697" w:type="dxa"/>
            <w:vMerge/>
            <w:tcBorders>
              <w:bottom w:val="single" w:sz="4" w:space="0" w:color="AEAAAA"/>
            </w:tcBorders>
            <w:shd w:val="clear" w:color="auto" w:fill="D5DCE4"/>
            <w:vAlign w:val="center"/>
          </w:tcPr>
          <w:p w:rsidR="00732844" w:rsidRDefault="00732844">
            <w:pPr>
              <w:widowControl w:val="0"/>
              <w:pBdr>
                <w:top w:val="nil"/>
                <w:left w:val="nil"/>
                <w:bottom w:val="nil"/>
                <w:right w:val="nil"/>
                <w:between w:val="nil"/>
              </w:pBdr>
              <w:rPr>
                <w:color w:val="000000"/>
                <w:sz w:val="18"/>
                <w:szCs w:val="18"/>
              </w:rPr>
            </w:pPr>
          </w:p>
        </w:tc>
        <w:tc>
          <w:tcPr>
            <w:tcW w:w="2268" w:type="dxa"/>
            <w:shd w:val="clear" w:color="auto" w:fill="D5DCE4"/>
            <w:vAlign w:val="center"/>
          </w:tcPr>
          <w:p w:rsidR="00732844" w:rsidRDefault="00C152D7">
            <w:pPr>
              <w:spacing w:before="120" w:after="120"/>
              <w:rPr>
                <w:color w:val="000000"/>
                <w:sz w:val="18"/>
                <w:szCs w:val="18"/>
              </w:rPr>
            </w:pPr>
            <w:r>
              <w:rPr>
                <w:color w:val="000000"/>
                <w:sz w:val="18"/>
                <w:szCs w:val="18"/>
              </w:rPr>
              <w:t>Otros</w:t>
            </w:r>
          </w:p>
        </w:tc>
        <w:tc>
          <w:tcPr>
            <w:tcW w:w="3544" w:type="dxa"/>
            <w:tcBorders>
              <w:top w:val="single" w:sz="4" w:space="0" w:color="A6A6A6"/>
              <w:bottom w:val="single" w:sz="4" w:space="0" w:color="A6A6A6"/>
            </w:tcBorders>
            <w:shd w:val="clear" w:color="auto" w:fill="FFFFFF"/>
            <w:vAlign w:val="center"/>
          </w:tcPr>
          <w:p w:rsidR="00732844" w:rsidRDefault="00C152D7">
            <w:pPr>
              <w:spacing w:before="120" w:after="120"/>
              <w:rPr>
                <w:color w:val="000000"/>
                <w:sz w:val="18"/>
                <w:szCs w:val="18"/>
              </w:rPr>
            </w:pPr>
            <w:r>
              <w:rPr>
                <w:sz w:val="18"/>
                <w:szCs w:val="18"/>
              </w:rPr>
              <w:t>A</w:t>
            </w:r>
            <w:r>
              <w:rPr>
                <w:color w:val="000000"/>
                <w:sz w:val="18"/>
                <w:szCs w:val="18"/>
              </w:rPr>
              <w:t>rtículos para escritorio y oficinas</w:t>
            </w:r>
          </w:p>
        </w:tc>
        <w:tc>
          <w:tcPr>
            <w:tcW w:w="1134" w:type="dxa"/>
            <w:tcBorders>
              <w:top w:val="single" w:sz="4" w:space="0" w:color="A6A6A6"/>
              <w:bottom w:val="single" w:sz="4" w:space="0" w:color="A6A6A6"/>
            </w:tcBorders>
            <w:shd w:val="clear" w:color="auto" w:fill="FFFFFF"/>
            <w:vAlign w:val="center"/>
          </w:tcPr>
          <w:p w:rsidR="00732844" w:rsidRDefault="00C152D7">
            <w:pPr>
              <w:spacing w:before="120" w:after="120"/>
              <w:jc w:val="center"/>
              <w:rPr>
                <w:color w:val="000000"/>
                <w:sz w:val="18"/>
                <w:szCs w:val="18"/>
              </w:rPr>
            </w:pPr>
            <w:r>
              <w:rPr>
                <w:color w:val="000000"/>
                <w:sz w:val="18"/>
                <w:szCs w:val="18"/>
              </w:rPr>
              <w:t>2246</w:t>
            </w:r>
          </w:p>
        </w:tc>
        <w:tc>
          <w:tcPr>
            <w:tcW w:w="1275" w:type="dxa"/>
            <w:vMerge/>
            <w:tcBorders>
              <w:bottom w:val="single" w:sz="4" w:space="0" w:color="AEAAAA"/>
            </w:tcBorders>
            <w:shd w:val="clear" w:color="auto" w:fill="FFFFFF"/>
            <w:vAlign w:val="center"/>
          </w:tcPr>
          <w:p w:rsidR="00732844" w:rsidRDefault="00732844">
            <w:pPr>
              <w:widowControl w:val="0"/>
              <w:pBdr>
                <w:top w:val="nil"/>
                <w:left w:val="nil"/>
                <w:bottom w:val="nil"/>
                <w:right w:val="nil"/>
                <w:between w:val="nil"/>
              </w:pBdr>
              <w:rPr>
                <w:color w:val="000000"/>
                <w:sz w:val="18"/>
                <w:szCs w:val="18"/>
              </w:rPr>
            </w:pPr>
          </w:p>
        </w:tc>
      </w:tr>
    </w:tbl>
    <w:p w:rsidR="00732844" w:rsidRDefault="00732844">
      <w:pPr>
        <w:spacing w:after="160"/>
        <w:jc w:val="both"/>
        <w:rPr>
          <w:rFonts w:ascii="Calibri" w:eastAsia="Calibri" w:hAnsi="Calibri" w:cs="Calibri"/>
          <w:b/>
          <w:highlight w:val="white"/>
        </w:rPr>
      </w:pPr>
    </w:p>
    <w:p w:rsidR="00732844" w:rsidRDefault="00C152D7">
      <w:pPr>
        <w:spacing w:after="160"/>
        <w:jc w:val="both"/>
        <w:rPr>
          <w:rFonts w:ascii="Calibri" w:eastAsia="Calibri" w:hAnsi="Calibri" w:cs="Calibri"/>
          <w:highlight w:val="white"/>
        </w:rPr>
      </w:pPr>
      <w:r>
        <w:br w:type="page"/>
      </w:r>
      <w:r>
        <w:rPr>
          <w:rFonts w:ascii="Calibri" w:eastAsia="Calibri" w:hAnsi="Calibri" w:cs="Calibri"/>
          <w:highlight w:val="white"/>
        </w:rPr>
        <w:lastRenderedPageBreak/>
        <w:t xml:space="preserve">En el caso de quienes postulen al Fondo Consolidado, se contempla la compra de bienes: </w:t>
      </w:r>
    </w:p>
    <w:tbl>
      <w:tblPr>
        <w:tblStyle w:val="a7"/>
        <w:tblW w:w="10050"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1547"/>
        <w:gridCol w:w="3838"/>
        <w:gridCol w:w="990"/>
        <w:gridCol w:w="1950"/>
      </w:tblGrid>
      <w:tr w:rsidR="00732844">
        <w:tc>
          <w:tcPr>
            <w:tcW w:w="1725" w:type="dxa"/>
            <w:shd w:val="clear" w:color="auto" w:fill="D5DCE4"/>
            <w:vAlign w:val="bottom"/>
          </w:tcPr>
          <w:p w:rsidR="00732844" w:rsidRDefault="00C152D7">
            <w:pPr>
              <w:spacing w:after="160"/>
              <w:jc w:val="center"/>
              <w:rPr>
                <w:b/>
                <w:sz w:val="18"/>
                <w:szCs w:val="18"/>
              </w:rPr>
            </w:pPr>
            <w:proofErr w:type="spellStart"/>
            <w:r>
              <w:rPr>
                <w:b/>
                <w:sz w:val="18"/>
                <w:szCs w:val="18"/>
              </w:rPr>
              <w:t>Item</w:t>
            </w:r>
            <w:proofErr w:type="spellEnd"/>
          </w:p>
        </w:tc>
        <w:tc>
          <w:tcPr>
            <w:tcW w:w="1547" w:type="dxa"/>
            <w:shd w:val="clear" w:color="auto" w:fill="D5DCE4"/>
            <w:vAlign w:val="bottom"/>
          </w:tcPr>
          <w:p w:rsidR="00732844" w:rsidRDefault="00C152D7">
            <w:pPr>
              <w:spacing w:after="160"/>
              <w:jc w:val="center"/>
              <w:rPr>
                <w:b/>
                <w:sz w:val="18"/>
                <w:szCs w:val="18"/>
              </w:rPr>
            </w:pPr>
            <w:proofErr w:type="spellStart"/>
            <w:r>
              <w:rPr>
                <w:b/>
                <w:sz w:val="18"/>
                <w:szCs w:val="18"/>
              </w:rPr>
              <w:t>Subitem</w:t>
            </w:r>
            <w:proofErr w:type="spellEnd"/>
          </w:p>
        </w:tc>
        <w:tc>
          <w:tcPr>
            <w:tcW w:w="3838" w:type="dxa"/>
            <w:shd w:val="clear" w:color="auto" w:fill="D5DCE4"/>
            <w:vAlign w:val="bottom"/>
          </w:tcPr>
          <w:p w:rsidR="00732844" w:rsidRDefault="00C152D7">
            <w:pPr>
              <w:spacing w:after="160"/>
              <w:jc w:val="center"/>
              <w:rPr>
                <w:b/>
                <w:sz w:val="18"/>
                <w:szCs w:val="18"/>
              </w:rPr>
            </w:pPr>
            <w:r>
              <w:rPr>
                <w:b/>
                <w:sz w:val="18"/>
                <w:szCs w:val="18"/>
              </w:rPr>
              <w:t>Gasto</w:t>
            </w:r>
          </w:p>
        </w:tc>
        <w:tc>
          <w:tcPr>
            <w:tcW w:w="990" w:type="dxa"/>
            <w:shd w:val="clear" w:color="auto" w:fill="D5DCE4"/>
            <w:vAlign w:val="bottom"/>
          </w:tcPr>
          <w:p w:rsidR="00732844" w:rsidRDefault="00C152D7">
            <w:pPr>
              <w:spacing w:after="160"/>
              <w:jc w:val="center"/>
              <w:rPr>
                <w:b/>
                <w:sz w:val="18"/>
                <w:szCs w:val="18"/>
              </w:rPr>
            </w:pPr>
            <w:r>
              <w:rPr>
                <w:b/>
                <w:sz w:val="18"/>
                <w:szCs w:val="18"/>
              </w:rPr>
              <w:t>Código MMM</w:t>
            </w:r>
          </w:p>
        </w:tc>
        <w:tc>
          <w:tcPr>
            <w:tcW w:w="1950" w:type="dxa"/>
            <w:shd w:val="clear" w:color="auto" w:fill="D5DCE4"/>
            <w:vAlign w:val="bottom"/>
          </w:tcPr>
          <w:p w:rsidR="00732844" w:rsidRDefault="00C152D7">
            <w:pPr>
              <w:spacing w:after="160"/>
              <w:jc w:val="center"/>
              <w:rPr>
                <w:b/>
                <w:sz w:val="18"/>
                <w:szCs w:val="18"/>
              </w:rPr>
            </w:pPr>
            <w:r>
              <w:rPr>
                <w:b/>
                <w:sz w:val="18"/>
                <w:szCs w:val="18"/>
              </w:rPr>
              <w:t>Monto máximo</w:t>
            </w:r>
          </w:p>
        </w:tc>
      </w:tr>
      <w:tr w:rsidR="00732844">
        <w:trPr>
          <w:trHeight w:val="380"/>
        </w:trPr>
        <w:tc>
          <w:tcPr>
            <w:tcW w:w="1725" w:type="dxa"/>
            <w:vMerge w:val="restart"/>
            <w:vAlign w:val="center"/>
          </w:tcPr>
          <w:p w:rsidR="00732844" w:rsidRDefault="00C152D7">
            <w:pPr>
              <w:spacing w:after="160"/>
              <w:jc w:val="center"/>
              <w:rPr>
                <w:sz w:val="18"/>
                <w:szCs w:val="18"/>
                <w:highlight w:val="white"/>
              </w:rPr>
            </w:pPr>
            <w:r>
              <w:rPr>
                <w:sz w:val="18"/>
                <w:szCs w:val="18"/>
                <w:highlight w:val="white"/>
              </w:rPr>
              <w:t>Bienes</w:t>
            </w:r>
          </w:p>
        </w:tc>
        <w:tc>
          <w:tcPr>
            <w:tcW w:w="1547" w:type="dxa"/>
            <w:vMerge w:val="restart"/>
            <w:vAlign w:val="center"/>
          </w:tcPr>
          <w:p w:rsidR="00732844" w:rsidRDefault="00C152D7">
            <w:pPr>
              <w:spacing w:after="160"/>
              <w:jc w:val="both"/>
              <w:rPr>
                <w:sz w:val="18"/>
                <w:szCs w:val="18"/>
                <w:highlight w:val="white"/>
              </w:rPr>
            </w:pPr>
            <w:r>
              <w:rPr>
                <w:sz w:val="18"/>
                <w:szCs w:val="18"/>
                <w:highlight w:val="white"/>
              </w:rPr>
              <w:t>Equipamiento e instrumental de apoyo</w:t>
            </w:r>
          </w:p>
        </w:tc>
        <w:tc>
          <w:tcPr>
            <w:tcW w:w="3838" w:type="dxa"/>
          </w:tcPr>
          <w:p w:rsidR="00732844" w:rsidRDefault="00C152D7">
            <w:pPr>
              <w:spacing w:after="160"/>
              <w:jc w:val="both"/>
              <w:rPr>
                <w:sz w:val="18"/>
                <w:szCs w:val="18"/>
                <w:highlight w:val="white"/>
              </w:rPr>
            </w:pPr>
            <w:r>
              <w:rPr>
                <w:sz w:val="18"/>
                <w:szCs w:val="18"/>
                <w:highlight w:val="white"/>
              </w:rPr>
              <w:t>Bienes, máquinas y equipos en general.</w:t>
            </w:r>
          </w:p>
        </w:tc>
        <w:tc>
          <w:tcPr>
            <w:tcW w:w="990" w:type="dxa"/>
            <w:vAlign w:val="center"/>
          </w:tcPr>
          <w:p w:rsidR="00732844" w:rsidRDefault="00C152D7">
            <w:pPr>
              <w:spacing w:after="160"/>
              <w:jc w:val="center"/>
              <w:rPr>
                <w:sz w:val="18"/>
                <w:szCs w:val="18"/>
                <w:highlight w:val="white"/>
              </w:rPr>
            </w:pPr>
            <w:r>
              <w:rPr>
                <w:sz w:val="18"/>
                <w:szCs w:val="18"/>
                <w:highlight w:val="white"/>
              </w:rPr>
              <w:t>4010</w:t>
            </w:r>
          </w:p>
        </w:tc>
        <w:tc>
          <w:tcPr>
            <w:tcW w:w="1950" w:type="dxa"/>
            <w:vMerge w:val="restart"/>
            <w:vAlign w:val="center"/>
          </w:tcPr>
          <w:p w:rsidR="00732844" w:rsidRDefault="00C152D7">
            <w:pPr>
              <w:spacing w:after="160"/>
              <w:jc w:val="center"/>
              <w:rPr>
                <w:b/>
                <w:sz w:val="18"/>
                <w:szCs w:val="18"/>
                <w:highlight w:val="white"/>
              </w:rPr>
            </w:pPr>
            <w:r>
              <w:rPr>
                <w:b/>
                <w:sz w:val="18"/>
                <w:szCs w:val="18"/>
                <w:highlight w:val="white"/>
              </w:rPr>
              <w:t>$1.300.000.-</w:t>
            </w:r>
          </w:p>
          <w:p w:rsidR="00732844" w:rsidRDefault="00732844">
            <w:pPr>
              <w:spacing w:after="160"/>
              <w:jc w:val="center"/>
              <w:rPr>
                <w:sz w:val="18"/>
                <w:szCs w:val="18"/>
                <w:highlight w:val="white"/>
              </w:rPr>
            </w:pPr>
          </w:p>
        </w:tc>
      </w:tr>
      <w:tr w:rsidR="00732844">
        <w:trPr>
          <w:trHeight w:val="380"/>
        </w:trPr>
        <w:tc>
          <w:tcPr>
            <w:tcW w:w="1725" w:type="dxa"/>
            <w:vMerge/>
            <w:vAlign w:val="center"/>
          </w:tcPr>
          <w:p w:rsidR="00732844" w:rsidRDefault="00732844">
            <w:pPr>
              <w:widowControl w:val="0"/>
              <w:pBdr>
                <w:top w:val="nil"/>
                <w:left w:val="nil"/>
                <w:bottom w:val="nil"/>
                <w:right w:val="nil"/>
                <w:between w:val="nil"/>
              </w:pBdr>
              <w:rPr>
                <w:sz w:val="18"/>
                <w:szCs w:val="18"/>
                <w:highlight w:val="white"/>
              </w:rPr>
            </w:pPr>
          </w:p>
        </w:tc>
        <w:tc>
          <w:tcPr>
            <w:tcW w:w="1547" w:type="dxa"/>
            <w:vMerge/>
            <w:vAlign w:val="center"/>
          </w:tcPr>
          <w:p w:rsidR="00732844" w:rsidRDefault="00732844">
            <w:pPr>
              <w:widowControl w:val="0"/>
              <w:pBdr>
                <w:top w:val="nil"/>
                <w:left w:val="nil"/>
                <w:bottom w:val="nil"/>
                <w:right w:val="nil"/>
                <w:between w:val="nil"/>
              </w:pBdr>
              <w:rPr>
                <w:sz w:val="18"/>
                <w:szCs w:val="18"/>
                <w:highlight w:val="white"/>
              </w:rPr>
            </w:pPr>
          </w:p>
        </w:tc>
        <w:tc>
          <w:tcPr>
            <w:tcW w:w="3838" w:type="dxa"/>
          </w:tcPr>
          <w:p w:rsidR="00732844" w:rsidRDefault="00C152D7">
            <w:pPr>
              <w:spacing w:after="160"/>
              <w:jc w:val="both"/>
              <w:rPr>
                <w:sz w:val="18"/>
                <w:szCs w:val="18"/>
                <w:highlight w:val="white"/>
              </w:rPr>
            </w:pPr>
            <w:r>
              <w:rPr>
                <w:sz w:val="18"/>
                <w:szCs w:val="18"/>
                <w:highlight w:val="white"/>
              </w:rPr>
              <w:t xml:space="preserve">Herramientas menores </w:t>
            </w:r>
          </w:p>
        </w:tc>
        <w:tc>
          <w:tcPr>
            <w:tcW w:w="990" w:type="dxa"/>
            <w:vAlign w:val="center"/>
          </w:tcPr>
          <w:p w:rsidR="00732844" w:rsidRDefault="00C152D7">
            <w:pPr>
              <w:spacing w:after="160"/>
              <w:jc w:val="center"/>
              <w:rPr>
                <w:sz w:val="18"/>
                <w:szCs w:val="18"/>
                <w:highlight w:val="white"/>
              </w:rPr>
            </w:pPr>
            <w:r>
              <w:rPr>
                <w:sz w:val="18"/>
                <w:szCs w:val="18"/>
                <w:highlight w:val="white"/>
              </w:rPr>
              <w:t>4012</w:t>
            </w:r>
          </w:p>
        </w:tc>
        <w:tc>
          <w:tcPr>
            <w:tcW w:w="1950" w:type="dxa"/>
            <w:vMerge/>
            <w:vAlign w:val="center"/>
          </w:tcPr>
          <w:p w:rsidR="00732844" w:rsidRDefault="00732844">
            <w:pPr>
              <w:widowControl w:val="0"/>
              <w:pBdr>
                <w:top w:val="nil"/>
                <w:left w:val="nil"/>
                <w:bottom w:val="nil"/>
                <w:right w:val="nil"/>
                <w:between w:val="nil"/>
              </w:pBdr>
              <w:rPr>
                <w:sz w:val="18"/>
                <w:szCs w:val="18"/>
                <w:highlight w:val="white"/>
              </w:rPr>
            </w:pPr>
          </w:p>
        </w:tc>
      </w:tr>
      <w:tr w:rsidR="00732844">
        <w:trPr>
          <w:trHeight w:val="380"/>
        </w:trPr>
        <w:tc>
          <w:tcPr>
            <w:tcW w:w="1725" w:type="dxa"/>
            <w:vMerge/>
            <w:vAlign w:val="center"/>
          </w:tcPr>
          <w:p w:rsidR="00732844" w:rsidRDefault="00732844">
            <w:pPr>
              <w:widowControl w:val="0"/>
              <w:pBdr>
                <w:top w:val="nil"/>
                <w:left w:val="nil"/>
                <w:bottom w:val="nil"/>
                <w:right w:val="nil"/>
                <w:between w:val="nil"/>
              </w:pBdr>
              <w:rPr>
                <w:sz w:val="18"/>
                <w:szCs w:val="18"/>
                <w:highlight w:val="white"/>
              </w:rPr>
            </w:pPr>
          </w:p>
        </w:tc>
        <w:tc>
          <w:tcPr>
            <w:tcW w:w="1547" w:type="dxa"/>
            <w:vMerge/>
            <w:vAlign w:val="center"/>
          </w:tcPr>
          <w:p w:rsidR="00732844" w:rsidRDefault="00732844">
            <w:pPr>
              <w:widowControl w:val="0"/>
              <w:pBdr>
                <w:top w:val="nil"/>
                <w:left w:val="nil"/>
                <w:bottom w:val="nil"/>
                <w:right w:val="nil"/>
                <w:between w:val="nil"/>
              </w:pBdr>
              <w:rPr>
                <w:sz w:val="18"/>
                <w:szCs w:val="18"/>
                <w:highlight w:val="white"/>
              </w:rPr>
            </w:pPr>
          </w:p>
        </w:tc>
        <w:tc>
          <w:tcPr>
            <w:tcW w:w="3838" w:type="dxa"/>
          </w:tcPr>
          <w:p w:rsidR="00732844" w:rsidRDefault="00C152D7">
            <w:pPr>
              <w:spacing w:after="160"/>
              <w:jc w:val="both"/>
              <w:rPr>
                <w:sz w:val="18"/>
                <w:szCs w:val="18"/>
                <w:highlight w:val="white"/>
              </w:rPr>
            </w:pPr>
            <w:r>
              <w:rPr>
                <w:sz w:val="18"/>
                <w:szCs w:val="18"/>
                <w:highlight w:val="white"/>
              </w:rPr>
              <w:t xml:space="preserve">Bienes, equipo e instrumental técnico. </w:t>
            </w:r>
          </w:p>
        </w:tc>
        <w:tc>
          <w:tcPr>
            <w:tcW w:w="990" w:type="dxa"/>
            <w:vAlign w:val="center"/>
          </w:tcPr>
          <w:p w:rsidR="00732844" w:rsidRDefault="00C152D7">
            <w:pPr>
              <w:spacing w:after="160"/>
              <w:jc w:val="center"/>
              <w:rPr>
                <w:sz w:val="18"/>
                <w:szCs w:val="18"/>
                <w:highlight w:val="white"/>
              </w:rPr>
            </w:pPr>
            <w:r>
              <w:rPr>
                <w:sz w:val="18"/>
                <w:szCs w:val="18"/>
                <w:highlight w:val="white"/>
              </w:rPr>
              <w:t>4013</w:t>
            </w:r>
          </w:p>
        </w:tc>
        <w:tc>
          <w:tcPr>
            <w:tcW w:w="1950" w:type="dxa"/>
            <w:vMerge/>
            <w:vAlign w:val="center"/>
          </w:tcPr>
          <w:p w:rsidR="00732844" w:rsidRDefault="00732844">
            <w:pPr>
              <w:widowControl w:val="0"/>
              <w:pBdr>
                <w:top w:val="nil"/>
                <w:left w:val="nil"/>
                <w:bottom w:val="nil"/>
                <w:right w:val="nil"/>
                <w:between w:val="nil"/>
              </w:pBdr>
              <w:rPr>
                <w:sz w:val="18"/>
                <w:szCs w:val="18"/>
                <w:highlight w:val="white"/>
              </w:rPr>
            </w:pPr>
          </w:p>
        </w:tc>
      </w:tr>
      <w:tr w:rsidR="00732844">
        <w:trPr>
          <w:trHeight w:val="380"/>
        </w:trPr>
        <w:tc>
          <w:tcPr>
            <w:tcW w:w="1725" w:type="dxa"/>
            <w:vMerge/>
            <w:vAlign w:val="center"/>
          </w:tcPr>
          <w:p w:rsidR="00732844" w:rsidRDefault="00732844">
            <w:pPr>
              <w:widowControl w:val="0"/>
              <w:pBdr>
                <w:top w:val="nil"/>
                <w:left w:val="nil"/>
                <w:bottom w:val="nil"/>
                <w:right w:val="nil"/>
                <w:between w:val="nil"/>
              </w:pBdr>
              <w:rPr>
                <w:sz w:val="18"/>
                <w:szCs w:val="18"/>
                <w:highlight w:val="white"/>
              </w:rPr>
            </w:pPr>
          </w:p>
        </w:tc>
        <w:tc>
          <w:tcPr>
            <w:tcW w:w="1547" w:type="dxa"/>
            <w:vMerge/>
            <w:vAlign w:val="center"/>
          </w:tcPr>
          <w:p w:rsidR="00732844" w:rsidRDefault="00732844">
            <w:pPr>
              <w:widowControl w:val="0"/>
              <w:pBdr>
                <w:top w:val="nil"/>
                <w:left w:val="nil"/>
                <w:bottom w:val="nil"/>
                <w:right w:val="nil"/>
                <w:between w:val="nil"/>
              </w:pBdr>
              <w:rPr>
                <w:sz w:val="18"/>
                <w:szCs w:val="18"/>
                <w:highlight w:val="white"/>
              </w:rPr>
            </w:pPr>
          </w:p>
        </w:tc>
        <w:tc>
          <w:tcPr>
            <w:tcW w:w="3838" w:type="dxa"/>
          </w:tcPr>
          <w:p w:rsidR="00732844" w:rsidRDefault="00C152D7">
            <w:pPr>
              <w:spacing w:after="160"/>
              <w:jc w:val="both"/>
              <w:rPr>
                <w:sz w:val="18"/>
                <w:szCs w:val="18"/>
                <w:highlight w:val="white"/>
              </w:rPr>
            </w:pPr>
            <w:r>
              <w:rPr>
                <w:sz w:val="18"/>
                <w:szCs w:val="18"/>
                <w:highlight w:val="white"/>
              </w:rPr>
              <w:t>Adquisición de equipos computacionales y tecnológicos.</w:t>
            </w:r>
          </w:p>
        </w:tc>
        <w:tc>
          <w:tcPr>
            <w:tcW w:w="990" w:type="dxa"/>
            <w:vAlign w:val="center"/>
          </w:tcPr>
          <w:p w:rsidR="00732844" w:rsidRDefault="00C152D7">
            <w:pPr>
              <w:spacing w:after="160"/>
              <w:jc w:val="center"/>
              <w:rPr>
                <w:sz w:val="18"/>
                <w:szCs w:val="18"/>
                <w:highlight w:val="white"/>
              </w:rPr>
            </w:pPr>
            <w:r>
              <w:rPr>
                <w:sz w:val="18"/>
                <w:szCs w:val="18"/>
                <w:highlight w:val="white"/>
              </w:rPr>
              <w:t>4020</w:t>
            </w:r>
          </w:p>
        </w:tc>
        <w:tc>
          <w:tcPr>
            <w:tcW w:w="1950" w:type="dxa"/>
            <w:vMerge/>
            <w:vAlign w:val="center"/>
          </w:tcPr>
          <w:p w:rsidR="00732844" w:rsidRDefault="00732844">
            <w:pPr>
              <w:widowControl w:val="0"/>
              <w:pBdr>
                <w:top w:val="nil"/>
                <w:left w:val="nil"/>
                <w:bottom w:val="nil"/>
                <w:right w:val="nil"/>
                <w:between w:val="nil"/>
              </w:pBdr>
              <w:rPr>
                <w:sz w:val="18"/>
                <w:szCs w:val="18"/>
                <w:highlight w:val="white"/>
              </w:rPr>
            </w:pPr>
          </w:p>
        </w:tc>
      </w:tr>
      <w:tr w:rsidR="00732844">
        <w:trPr>
          <w:trHeight w:val="380"/>
        </w:trPr>
        <w:tc>
          <w:tcPr>
            <w:tcW w:w="1725" w:type="dxa"/>
            <w:vMerge/>
            <w:vAlign w:val="center"/>
          </w:tcPr>
          <w:p w:rsidR="00732844" w:rsidRDefault="00732844">
            <w:pPr>
              <w:widowControl w:val="0"/>
              <w:pBdr>
                <w:top w:val="nil"/>
                <w:left w:val="nil"/>
                <w:bottom w:val="nil"/>
                <w:right w:val="nil"/>
                <w:between w:val="nil"/>
              </w:pBdr>
              <w:rPr>
                <w:sz w:val="18"/>
                <w:szCs w:val="18"/>
                <w:highlight w:val="white"/>
              </w:rPr>
            </w:pPr>
          </w:p>
        </w:tc>
        <w:tc>
          <w:tcPr>
            <w:tcW w:w="1547" w:type="dxa"/>
            <w:vMerge/>
            <w:vAlign w:val="center"/>
          </w:tcPr>
          <w:p w:rsidR="00732844" w:rsidRDefault="00732844">
            <w:pPr>
              <w:widowControl w:val="0"/>
              <w:pBdr>
                <w:top w:val="nil"/>
                <w:left w:val="nil"/>
                <w:bottom w:val="nil"/>
                <w:right w:val="nil"/>
                <w:between w:val="nil"/>
              </w:pBdr>
              <w:rPr>
                <w:sz w:val="18"/>
                <w:szCs w:val="18"/>
                <w:highlight w:val="white"/>
              </w:rPr>
            </w:pPr>
          </w:p>
        </w:tc>
        <w:tc>
          <w:tcPr>
            <w:tcW w:w="3838" w:type="dxa"/>
          </w:tcPr>
          <w:p w:rsidR="00732844" w:rsidRDefault="00C152D7">
            <w:pPr>
              <w:spacing w:after="160"/>
              <w:jc w:val="both"/>
              <w:rPr>
                <w:sz w:val="18"/>
                <w:szCs w:val="18"/>
                <w:highlight w:val="white"/>
              </w:rPr>
            </w:pPr>
            <w:r>
              <w:rPr>
                <w:sz w:val="18"/>
                <w:szCs w:val="18"/>
                <w:highlight w:val="white"/>
              </w:rPr>
              <w:t xml:space="preserve">Implementos deportivos. </w:t>
            </w:r>
          </w:p>
        </w:tc>
        <w:tc>
          <w:tcPr>
            <w:tcW w:w="990" w:type="dxa"/>
            <w:vAlign w:val="center"/>
          </w:tcPr>
          <w:p w:rsidR="00732844" w:rsidRDefault="00C152D7">
            <w:pPr>
              <w:spacing w:after="160"/>
              <w:jc w:val="center"/>
              <w:rPr>
                <w:sz w:val="18"/>
                <w:szCs w:val="18"/>
                <w:highlight w:val="white"/>
              </w:rPr>
            </w:pPr>
            <w:r>
              <w:rPr>
                <w:sz w:val="18"/>
                <w:szCs w:val="18"/>
                <w:highlight w:val="white"/>
              </w:rPr>
              <w:t>4025</w:t>
            </w:r>
          </w:p>
        </w:tc>
        <w:tc>
          <w:tcPr>
            <w:tcW w:w="1950" w:type="dxa"/>
            <w:vMerge/>
            <w:vAlign w:val="center"/>
          </w:tcPr>
          <w:p w:rsidR="00732844" w:rsidRDefault="00732844">
            <w:pPr>
              <w:widowControl w:val="0"/>
              <w:pBdr>
                <w:top w:val="nil"/>
                <w:left w:val="nil"/>
                <w:bottom w:val="nil"/>
                <w:right w:val="nil"/>
                <w:between w:val="nil"/>
              </w:pBdr>
              <w:rPr>
                <w:sz w:val="18"/>
                <w:szCs w:val="18"/>
                <w:highlight w:val="white"/>
              </w:rPr>
            </w:pPr>
          </w:p>
        </w:tc>
      </w:tr>
    </w:tbl>
    <w:p w:rsidR="00732844" w:rsidRDefault="00732844">
      <w:pPr>
        <w:spacing w:after="160"/>
        <w:jc w:val="both"/>
        <w:rPr>
          <w:rFonts w:ascii="Calibri" w:eastAsia="Calibri" w:hAnsi="Calibri" w:cs="Calibri"/>
          <w:b/>
          <w:highlight w:val="white"/>
        </w:rPr>
      </w:pPr>
    </w:p>
    <w:p w:rsidR="00732844" w:rsidRDefault="00C152D7">
      <w:pPr>
        <w:numPr>
          <w:ilvl w:val="0"/>
          <w:numId w:val="9"/>
        </w:numPr>
        <w:spacing w:before="240" w:after="240"/>
        <w:jc w:val="both"/>
        <w:rPr>
          <w:rFonts w:ascii="Calibri" w:eastAsia="Calibri" w:hAnsi="Calibri" w:cs="Calibri"/>
          <w:b/>
          <w:color w:val="202124"/>
          <w:sz w:val="24"/>
          <w:szCs w:val="24"/>
          <w:highlight w:val="white"/>
        </w:rPr>
      </w:pPr>
      <w:bookmarkStart w:id="6" w:name="_heading=h.3znysh7" w:colFirst="0" w:colLast="0"/>
      <w:bookmarkEnd w:id="6"/>
      <w:r>
        <w:rPr>
          <w:rFonts w:ascii="Calibri" w:eastAsia="Calibri" w:hAnsi="Calibri" w:cs="Calibri"/>
          <w:b/>
          <w:color w:val="202124"/>
          <w:sz w:val="24"/>
          <w:szCs w:val="24"/>
          <w:highlight w:val="white"/>
        </w:rPr>
        <w:t>Fases y plazos de postulación</w:t>
      </w:r>
    </w:p>
    <w:tbl>
      <w:tblPr>
        <w:tblStyle w:val="a8"/>
        <w:tblW w:w="10080"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425"/>
        <w:gridCol w:w="5325"/>
        <w:gridCol w:w="1770"/>
      </w:tblGrid>
      <w:tr w:rsidR="00732844">
        <w:trPr>
          <w:trHeight w:val="440"/>
        </w:trPr>
        <w:tc>
          <w:tcPr>
            <w:tcW w:w="1560" w:type="dxa"/>
            <w:tcBorders>
              <w:top w:val="single" w:sz="8" w:space="0" w:color="000000"/>
              <w:left w:val="single" w:sz="8" w:space="0" w:color="000000"/>
              <w:bottom w:val="single" w:sz="8" w:space="0" w:color="000000"/>
              <w:right w:val="single" w:sz="8" w:space="0" w:color="000000"/>
            </w:tcBorders>
            <w:shd w:val="clear" w:color="auto" w:fill="D5DCE4"/>
            <w:vAlign w:val="center"/>
          </w:tcPr>
          <w:p w:rsidR="00732844" w:rsidRDefault="00C152D7">
            <w:pPr>
              <w:jc w:val="center"/>
              <w:rPr>
                <w:b/>
                <w:sz w:val="18"/>
                <w:szCs w:val="18"/>
              </w:rPr>
            </w:pPr>
            <w:r>
              <w:rPr>
                <w:b/>
                <w:sz w:val="18"/>
                <w:szCs w:val="18"/>
              </w:rPr>
              <w:t>Etapa</w:t>
            </w:r>
          </w:p>
        </w:tc>
        <w:tc>
          <w:tcPr>
            <w:tcW w:w="1425" w:type="dxa"/>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rsidR="00732844" w:rsidRDefault="00C152D7">
            <w:pPr>
              <w:jc w:val="center"/>
              <w:rPr>
                <w:b/>
                <w:sz w:val="18"/>
                <w:szCs w:val="18"/>
              </w:rPr>
            </w:pPr>
            <w:r>
              <w:rPr>
                <w:b/>
                <w:sz w:val="18"/>
                <w:szCs w:val="18"/>
              </w:rPr>
              <w:t>Etapa</w:t>
            </w:r>
          </w:p>
        </w:tc>
        <w:tc>
          <w:tcPr>
            <w:tcW w:w="5325" w:type="dxa"/>
            <w:tcBorders>
              <w:top w:val="single" w:sz="8" w:space="0" w:color="000000"/>
              <w:left w:val="nil"/>
              <w:bottom w:val="single" w:sz="8" w:space="0" w:color="000000"/>
              <w:right w:val="single" w:sz="8" w:space="0" w:color="000000"/>
            </w:tcBorders>
            <w:shd w:val="clear" w:color="auto" w:fill="D5DCE4"/>
            <w:tcMar>
              <w:top w:w="100" w:type="dxa"/>
              <w:left w:w="100" w:type="dxa"/>
              <w:bottom w:w="100" w:type="dxa"/>
              <w:right w:w="100" w:type="dxa"/>
            </w:tcMar>
            <w:vAlign w:val="center"/>
          </w:tcPr>
          <w:p w:rsidR="00732844" w:rsidRDefault="00C152D7">
            <w:pPr>
              <w:jc w:val="center"/>
              <w:rPr>
                <w:b/>
                <w:sz w:val="18"/>
                <w:szCs w:val="18"/>
              </w:rPr>
            </w:pPr>
            <w:r>
              <w:rPr>
                <w:b/>
                <w:sz w:val="18"/>
                <w:szCs w:val="18"/>
              </w:rPr>
              <w:t>Descripción</w:t>
            </w:r>
          </w:p>
        </w:tc>
        <w:tc>
          <w:tcPr>
            <w:tcW w:w="1770" w:type="dxa"/>
            <w:tcBorders>
              <w:top w:val="single" w:sz="8" w:space="0" w:color="000000"/>
              <w:left w:val="nil"/>
              <w:bottom w:val="single" w:sz="8" w:space="0" w:color="000000"/>
              <w:right w:val="single" w:sz="8" w:space="0" w:color="000000"/>
            </w:tcBorders>
            <w:shd w:val="clear" w:color="auto" w:fill="D5DCE4"/>
            <w:vAlign w:val="center"/>
          </w:tcPr>
          <w:p w:rsidR="00732844" w:rsidRDefault="00C152D7">
            <w:pPr>
              <w:jc w:val="center"/>
              <w:rPr>
                <w:b/>
                <w:sz w:val="18"/>
                <w:szCs w:val="18"/>
              </w:rPr>
            </w:pPr>
            <w:r>
              <w:rPr>
                <w:b/>
                <w:sz w:val="18"/>
                <w:szCs w:val="18"/>
              </w:rPr>
              <w:t>N° de días hábiles</w:t>
            </w:r>
          </w:p>
        </w:tc>
      </w:tr>
      <w:tr w:rsidR="00732844">
        <w:trPr>
          <w:trHeight w:val="685"/>
        </w:trPr>
        <w:tc>
          <w:tcPr>
            <w:tcW w:w="1560" w:type="dxa"/>
            <w:vMerge w:val="restart"/>
            <w:tcBorders>
              <w:top w:val="nil"/>
              <w:left w:val="single" w:sz="8" w:space="0" w:color="000000"/>
              <w:right w:val="single" w:sz="8" w:space="0" w:color="000000"/>
            </w:tcBorders>
          </w:tcPr>
          <w:p w:rsidR="00732844" w:rsidRDefault="00C152D7">
            <w:pPr>
              <w:rPr>
                <w:b/>
                <w:sz w:val="18"/>
                <w:szCs w:val="18"/>
                <w:highlight w:val="white"/>
              </w:rPr>
            </w:pPr>
            <w:r>
              <w:rPr>
                <w:b/>
                <w:sz w:val="18"/>
                <w:szCs w:val="18"/>
                <w:highlight w:val="white"/>
              </w:rPr>
              <w:t xml:space="preserve">Etapa de consultas </w:t>
            </w: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sz w:val="18"/>
                <w:szCs w:val="18"/>
                <w:highlight w:val="white"/>
              </w:rPr>
            </w:pPr>
            <w:r>
              <w:rPr>
                <w:b/>
                <w:sz w:val="18"/>
                <w:szCs w:val="18"/>
                <w:highlight w:val="white"/>
              </w:rPr>
              <w:t xml:space="preserve">Apertura del concurso  </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highlight w:val="white"/>
              </w:rPr>
            </w:pPr>
            <w:r>
              <w:rPr>
                <w:sz w:val="18"/>
                <w:szCs w:val="18"/>
              </w:rPr>
              <w:t xml:space="preserve">La publicación de las bases se hará en el sitio web </w:t>
            </w:r>
            <w:hyperlink r:id="rId9">
              <w:r>
                <w:rPr>
                  <w:color w:val="0563C1"/>
                  <w:sz w:val="18"/>
                  <w:szCs w:val="18"/>
                  <w:highlight w:val="white"/>
                  <w:u w:val="single"/>
                </w:rPr>
                <w:t>https://upla.cl/vinculacion/category/convocatorias/</w:t>
              </w:r>
            </w:hyperlink>
            <w:r>
              <w:rPr>
                <w:sz w:val="18"/>
                <w:szCs w:val="18"/>
              </w:rPr>
              <w:t xml:space="preserve"> </w:t>
            </w:r>
          </w:p>
        </w:tc>
        <w:tc>
          <w:tcPr>
            <w:tcW w:w="1770" w:type="dxa"/>
            <w:tcBorders>
              <w:top w:val="nil"/>
              <w:left w:val="nil"/>
              <w:bottom w:val="single" w:sz="8" w:space="0" w:color="000000"/>
              <w:right w:val="single" w:sz="8" w:space="0" w:color="000000"/>
            </w:tcBorders>
          </w:tcPr>
          <w:p w:rsidR="00732844" w:rsidRDefault="00C152D7">
            <w:pPr>
              <w:rPr>
                <w:sz w:val="18"/>
                <w:szCs w:val="18"/>
              </w:rPr>
            </w:pPr>
            <w:r>
              <w:rPr>
                <w:sz w:val="18"/>
                <w:szCs w:val="18"/>
              </w:rPr>
              <w:t>Día hábil 1</w:t>
            </w:r>
          </w:p>
        </w:tc>
      </w:tr>
      <w:tr w:rsidR="00732844">
        <w:trPr>
          <w:trHeight w:val="1115"/>
        </w:trPr>
        <w:tc>
          <w:tcPr>
            <w:tcW w:w="1560" w:type="dxa"/>
            <w:vMerge/>
            <w:tcBorders>
              <w:top w:val="nil"/>
              <w:left w:val="single" w:sz="8" w:space="0" w:color="000000"/>
              <w:right w:val="single" w:sz="8" w:space="0" w:color="000000"/>
            </w:tcBorders>
          </w:tcPr>
          <w:p w:rsidR="00732844" w:rsidRDefault="00732844">
            <w:pPr>
              <w:widowControl w:val="0"/>
              <w:pBdr>
                <w:top w:val="nil"/>
                <w:left w:val="nil"/>
                <w:bottom w:val="nil"/>
                <w:right w:val="nil"/>
                <w:between w:val="nil"/>
              </w:pBdr>
              <w:rPr>
                <w:sz w:val="18"/>
                <w:szCs w:val="18"/>
              </w:rPr>
            </w:pP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sz w:val="18"/>
                <w:szCs w:val="18"/>
                <w:highlight w:val="white"/>
              </w:rPr>
            </w:pPr>
            <w:r>
              <w:rPr>
                <w:b/>
                <w:sz w:val="18"/>
                <w:szCs w:val="18"/>
                <w:highlight w:val="white"/>
              </w:rPr>
              <w:t xml:space="preserve">Dudas y consultas </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rPr>
            </w:pPr>
            <w:r>
              <w:rPr>
                <w:sz w:val="18"/>
                <w:szCs w:val="18"/>
                <w:highlight w:val="white"/>
              </w:rPr>
              <w:t xml:space="preserve">Todas las dudas y consultas sobre el proceso se deben realizar </w:t>
            </w:r>
            <w:r>
              <w:rPr>
                <w:b/>
                <w:sz w:val="18"/>
                <w:szCs w:val="18"/>
                <w:highlight w:val="white"/>
              </w:rPr>
              <w:t xml:space="preserve">únicamente al correo </w:t>
            </w:r>
            <w:r>
              <w:rPr>
                <w:b/>
                <w:color w:val="0563C1"/>
                <w:sz w:val="18"/>
                <w:szCs w:val="18"/>
                <w:highlight w:val="white"/>
                <w:u w:val="single"/>
              </w:rPr>
              <w:t>unidadinnovacionsocial@upla.cl</w:t>
            </w:r>
            <w:r>
              <w:rPr>
                <w:b/>
                <w:sz w:val="18"/>
                <w:szCs w:val="18"/>
                <w:highlight w:val="white"/>
              </w:rPr>
              <w:t xml:space="preserve"> </w:t>
            </w:r>
            <w:r>
              <w:rPr>
                <w:sz w:val="18"/>
                <w:szCs w:val="18"/>
                <w:highlight w:val="white"/>
              </w:rPr>
              <w:t xml:space="preserve">durante los </w:t>
            </w:r>
            <w:r>
              <w:rPr>
                <w:b/>
                <w:sz w:val="18"/>
                <w:szCs w:val="18"/>
                <w:highlight w:val="white"/>
              </w:rPr>
              <w:t>15 primeros días hábiles luego de la publicación de las presentes bases</w:t>
            </w:r>
            <w:r>
              <w:rPr>
                <w:sz w:val="18"/>
                <w:szCs w:val="18"/>
                <w:highlight w:val="white"/>
              </w:rPr>
              <w:t xml:space="preserve">. </w:t>
            </w:r>
          </w:p>
        </w:tc>
        <w:tc>
          <w:tcPr>
            <w:tcW w:w="1770" w:type="dxa"/>
            <w:tcBorders>
              <w:top w:val="nil"/>
              <w:left w:val="nil"/>
              <w:bottom w:val="single" w:sz="8" w:space="0" w:color="000000"/>
              <w:right w:val="single" w:sz="8" w:space="0" w:color="000000"/>
            </w:tcBorders>
          </w:tcPr>
          <w:p w:rsidR="00732844" w:rsidRDefault="00C152D7">
            <w:pPr>
              <w:spacing w:after="240"/>
              <w:rPr>
                <w:sz w:val="18"/>
                <w:szCs w:val="18"/>
                <w:highlight w:val="white"/>
              </w:rPr>
            </w:pPr>
            <w:r>
              <w:rPr>
                <w:sz w:val="18"/>
                <w:szCs w:val="18"/>
                <w:highlight w:val="white"/>
              </w:rPr>
              <w:t>Día hábil n°1 a día hábil n°15</w:t>
            </w:r>
          </w:p>
        </w:tc>
      </w:tr>
      <w:tr w:rsidR="00732844">
        <w:trPr>
          <w:trHeight w:val="1115"/>
        </w:trPr>
        <w:tc>
          <w:tcPr>
            <w:tcW w:w="1560" w:type="dxa"/>
            <w:vMerge/>
            <w:tcBorders>
              <w:top w:val="nil"/>
              <w:left w:val="single" w:sz="8" w:space="0" w:color="000000"/>
              <w:right w:val="single" w:sz="8" w:space="0" w:color="000000"/>
            </w:tcBorders>
          </w:tcPr>
          <w:p w:rsidR="00732844" w:rsidRDefault="00732844">
            <w:pPr>
              <w:widowControl w:val="0"/>
              <w:pBdr>
                <w:top w:val="nil"/>
                <w:left w:val="nil"/>
                <w:bottom w:val="nil"/>
                <w:right w:val="nil"/>
                <w:between w:val="nil"/>
              </w:pBdr>
              <w:rPr>
                <w:sz w:val="18"/>
                <w:szCs w:val="18"/>
                <w:highlight w:val="white"/>
              </w:rPr>
            </w:pP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b/>
                <w:sz w:val="18"/>
                <w:szCs w:val="18"/>
                <w:highlight w:val="white"/>
              </w:rPr>
            </w:pPr>
            <w:proofErr w:type="spellStart"/>
            <w:r>
              <w:rPr>
                <w:b/>
                <w:sz w:val="18"/>
                <w:szCs w:val="18"/>
                <w:highlight w:val="white"/>
              </w:rPr>
              <w:t>Webinar</w:t>
            </w:r>
            <w:proofErr w:type="spellEnd"/>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highlight w:val="white"/>
              </w:rPr>
            </w:pPr>
            <w:r>
              <w:rPr>
                <w:sz w:val="18"/>
                <w:szCs w:val="18"/>
                <w:highlight w:val="white"/>
              </w:rPr>
              <w:t xml:space="preserve">Al </w:t>
            </w:r>
            <w:r>
              <w:rPr>
                <w:b/>
                <w:sz w:val="18"/>
                <w:szCs w:val="18"/>
                <w:highlight w:val="white"/>
              </w:rPr>
              <w:t>día hábil Nº 10</w:t>
            </w:r>
            <w:r>
              <w:rPr>
                <w:sz w:val="18"/>
                <w:szCs w:val="18"/>
                <w:highlight w:val="white"/>
              </w:rPr>
              <w:t>, se realizará una reunión general vía zoom para resolver dudas, la que será informada oportunamente a través de la página web de la Dirección General de Vinculación con el Medio:</w:t>
            </w:r>
            <w:hyperlink r:id="rId10">
              <w:r>
                <w:rPr>
                  <w:sz w:val="18"/>
                  <w:szCs w:val="18"/>
                  <w:highlight w:val="white"/>
                </w:rPr>
                <w:t xml:space="preserve"> </w:t>
              </w:r>
            </w:hyperlink>
            <w:hyperlink r:id="rId11">
              <w:r>
                <w:rPr>
                  <w:color w:val="0563C1"/>
                  <w:sz w:val="18"/>
                  <w:szCs w:val="18"/>
                  <w:highlight w:val="white"/>
                  <w:u w:val="single"/>
                </w:rPr>
                <w:t>https://upla.cl/vinculacion/category/convocatorias/</w:t>
              </w:r>
            </w:hyperlink>
            <w:r>
              <w:rPr>
                <w:sz w:val="18"/>
                <w:szCs w:val="18"/>
                <w:highlight w:val="white"/>
              </w:rPr>
              <w:t xml:space="preserve"> y redes sociales de la DGVM.</w:t>
            </w:r>
          </w:p>
        </w:tc>
        <w:tc>
          <w:tcPr>
            <w:tcW w:w="1770" w:type="dxa"/>
            <w:tcBorders>
              <w:top w:val="nil"/>
              <w:left w:val="nil"/>
              <w:bottom w:val="single" w:sz="8" w:space="0" w:color="000000"/>
              <w:right w:val="single" w:sz="8" w:space="0" w:color="000000"/>
            </w:tcBorders>
          </w:tcPr>
          <w:p w:rsidR="00732844" w:rsidRDefault="00C152D7">
            <w:pPr>
              <w:spacing w:after="240"/>
              <w:rPr>
                <w:sz w:val="18"/>
                <w:szCs w:val="18"/>
                <w:highlight w:val="white"/>
              </w:rPr>
            </w:pPr>
            <w:r>
              <w:rPr>
                <w:sz w:val="18"/>
                <w:szCs w:val="18"/>
                <w:highlight w:val="white"/>
              </w:rPr>
              <w:t>Día hábil n°10</w:t>
            </w:r>
          </w:p>
        </w:tc>
      </w:tr>
      <w:tr w:rsidR="00732844">
        <w:trPr>
          <w:trHeight w:val="1115"/>
        </w:trPr>
        <w:tc>
          <w:tcPr>
            <w:tcW w:w="1560" w:type="dxa"/>
            <w:vMerge/>
            <w:tcBorders>
              <w:top w:val="nil"/>
              <w:left w:val="single" w:sz="8" w:space="0" w:color="000000"/>
              <w:right w:val="single" w:sz="8" w:space="0" w:color="000000"/>
            </w:tcBorders>
          </w:tcPr>
          <w:p w:rsidR="00732844" w:rsidRDefault="00732844">
            <w:pPr>
              <w:widowControl w:val="0"/>
              <w:pBdr>
                <w:top w:val="nil"/>
                <w:left w:val="nil"/>
                <w:bottom w:val="nil"/>
                <w:right w:val="nil"/>
                <w:between w:val="nil"/>
              </w:pBdr>
              <w:rPr>
                <w:sz w:val="18"/>
                <w:szCs w:val="18"/>
                <w:highlight w:val="white"/>
              </w:rPr>
            </w:pP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b/>
                <w:sz w:val="18"/>
                <w:szCs w:val="18"/>
                <w:highlight w:val="white"/>
              </w:rPr>
            </w:pPr>
            <w:r>
              <w:rPr>
                <w:b/>
                <w:sz w:val="18"/>
                <w:szCs w:val="18"/>
                <w:highlight w:val="white"/>
              </w:rPr>
              <w:t xml:space="preserve">Publicación consolidado preguntas y respuestas </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highlight w:val="white"/>
              </w:rPr>
            </w:pPr>
            <w:r>
              <w:rPr>
                <w:sz w:val="18"/>
                <w:szCs w:val="18"/>
              </w:rPr>
              <w:t xml:space="preserve">La publicación de las respuestas a las preguntas realizadas en el </w:t>
            </w:r>
            <w:proofErr w:type="spellStart"/>
            <w:r>
              <w:rPr>
                <w:sz w:val="18"/>
                <w:szCs w:val="18"/>
              </w:rPr>
              <w:t>webinar</w:t>
            </w:r>
            <w:proofErr w:type="spellEnd"/>
            <w:r>
              <w:rPr>
                <w:sz w:val="18"/>
                <w:szCs w:val="18"/>
              </w:rPr>
              <w:t xml:space="preserve"> se hará el</w:t>
            </w:r>
            <w:r>
              <w:rPr>
                <w:b/>
                <w:sz w:val="18"/>
                <w:szCs w:val="18"/>
              </w:rPr>
              <w:t xml:space="preserve"> día hábil N°11</w:t>
            </w:r>
            <w:r>
              <w:rPr>
                <w:sz w:val="18"/>
                <w:szCs w:val="18"/>
              </w:rPr>
              <w:t xml:space="preserve"> a través de la página web de la Dirección General de Vinculación con el Medio:</w:t>
            </w:r>
            <w:hyperlink r:id="rId12">
              <w:r>
                <w:rPr>
                  <w:sz w:val="18"/>
                  <w:szCs w:val="18"/>
                </w:rPr>
                <w:t xml:space="preserve"> </w:t>
              </w:r>
            </w:hyperlink>
            <w:hyperlink r:id="rId13">
              <w:r>
                <w:rPr>
                  <w:color w:val="0563C1"/>
                  <w:sz w:val="18"/>
                  <w:szCs w:val="18"/>
                  <w:highlight w:val="white"/>
                  <w:u w:val="single"/>
                </w:rPr>
                <w:t>https://upla.cl/vinculacion/category/convocatorias/</w:t>
              </w:r>
            </w:hyperlink>
          </w:p>
        </w:tc>
        <w:tc>
          <w:tcPr>
            <w:tcW w:w="1770" w:type="dxa"/>
            <w:tcBorders>
              <w:top w:val="nil"/>
              <w:left w:val="nil"/>
              <w:bottom w:val="single" w:sz="8" w:space="0" w:color="000000"/>
              <w:right w:val="single" w:sz="8" w:space="0" w:color="000000"/>
            </w:tcBorders>
          </w:tcPr>
          <w:p w:rsidR="00732844" w:rsidRDefault="00C152D7">
            <w:pPr>
              <w:spacing w:after="240"/>
              <w:rPr>
                <w:sz w:val="18"/>
                <w:szCs w:val="18"/>
                <w:highlight w:val="white"/>
              </w:rPr>
            </w:pPr>
            <w:r>
              <w:rPr>
                <w:sz w:val="18"/>
                <w:szCs w:val="18"/>
                <w:highlight w:val="white"/>
              </w:rPr>
              <w:t>Día hábil n°11</w:t>
            </w:r>
          </w:p>
        </w:tc>
      </w:tr>
      <w:tr w:rsidR="00732844">
        <w:trPr>
          <w:trHeight w:val="913"/>
        </w:trPr>
        <w:tc>
          <w:tcPr>
            <w:tcW w:w="1560" w:type="dxa"/>
            <w:tcBorders>
              <w:top w:val="nil"/>
              <w:left w:val="single" w:sz="8" w:space="0" w:color="000000"/>
              <w:bottom w:val="single" w:sz="8" w:space="0" w:color="000000"/>
              <w:right w:val="single" w:sz="8" w:space="0" w:color="000000"/>
            </w:tcBorders>
          </w:tcPr>
          <w:p w:rsidR="00732844" w:rsidRDefault="00C152D7">
            <w:pPr>
              <w:rPr>
                <w:b/>
                <w:sz w:val="18"/>
                <w:szCs w:val="18"/>
              </w:rPr>
            </w:pPr>
            <w:r>
              <w:rPr>
                <w:b/>
                <w:sz w:val="18"/>
                <w:szCs w:val="18"/>
              </w:rPr>
              <w:t xml:space="preserve">Etapa de postulación </w:t>
            </w: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b/>
                <w:sz w:val="18"/>
                <w:szCs w:val="18"/>
              </w:rPr>
            </w:pPr>
            <w:r>
              <w:rPr>
                <w:b/>
                <w:sz w:val="18"/>
                <w:szCs w:val="18"/>
              </w:rPr>
              <w:t>Envío de postulaciones</w:t>
            </w:r>
          </w:p>
          <w:p w:rsidR="00732844" w:rsidRDefault="00732844">
            <w:pPr>
              <w:rPr>
                <w:b/>
                <w:sz w:val="18"/>
                <w:szCs w:val="18"/>
                <w:highlight w:val="white"/>
              </w:rPr>
            </w:pP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highlight w:val="white"/>
              </w:rPr>
            </w:pPr>
            <w:r>
              <w:rPr>
                <w:sz w:val="18"/>
                <w:szCs w:val="18"/>
                <w:highlight w:val="white"/>
              </w:rPr>
              <w:t xml:space="preserve">Las propuestas serán </w:t>
            </w:r>
            <w:proofErr w:type="spellStart"/>
            <w:r>
              <w:rPr>
                <w:sz w:val="18"/>
                <w:szCs w:val="18"/>
                <w:highlight w:val="white"/>
              </w:rPr>
              <w:t>recepcionadas</w:t>
            </w:r>
            <w:proofErr w:type="spellEnd"/>
            <w:r>
              <w:rPr>
                <w:sz w:val="18"/>
                <w:szCs w:val="18"/>
                <w:highlight w:val="white"/>
              </w:rPr>
              <w:t xml:space="preserve"> entre 1 a 5 días hábiles posteriores a la fecha de cierre de la etapa anterior. </w:t>
            </w:r>
            <w:r>
              <w:rPr>
                <w:b/>
                <w:sz w:val="18"/>
                <w:szCs w:val="18"/>
                <w:highlight w:val="white"/>
              </w:rPr>
              <w:t xml:space="preserve">El único medio a través del cual se aceptarán las postulaciones será el correo </w:t>
            </w:r>
            <w:hyperlink r:id="rId14">
              <w:r>
                <w:rPr>
                  <w:b/>
                  <w:color w:val="0563C1"/>
                  <w:sz w:val="18"/>
                  <w:szCs w:val="18"/>
                  <w:highlight w:val="white"/>
                  <w:u w:val="single"/>
                </w:rPr>
                <w:t>unidadinnovacionsocial@upla.cl</w:t>
              </w:r>
            </w:hyperlink>
            <w:r>
              <w:rPr>
                <w:b/>
                <w:sz w:val="18"/>
                <w:szCs w:val="18"/>
                <w:highlight w:val="white"/>
              </w:rPr>
              <w:t xml:space="preserve"> </w:t>
            </w:r>
          </w:p>
        </w:tc>
        <w:tc>
          <w:tcPr>
            <w:tcW w:w="1770" w:type="dxa"/>
            <w:tcBorders>
              <w:top w:val="nil"/>
              <w:left w:val="nil"/>
              <w:bottom w:val="single" w:sz="8" w:space="0" w:color="000000"/>
              <w:right w:val="single" w:sz="8" w:space="0" w:color="000000"/>
            </w:tcBorders>
          </w:tcPr>
          <w:p w:rsidR="00732844" w:rsidRDefault="00C152D7">
            <w:pPr>
              <w:rPr>
                <w:sz w:val="18"/>
                <w:szCs w:val="18"/>
                <w:highlight w:val="white"/>
              </w:rPr>
            </w:pPr>
            <w:r>
              <w:rPr>
                <w:sz w:val="18"/>
                <w:szCs w:val="18"/>
                <w:highlight w:val="white"/>
              </w:rPr>
              <w:t>Día hábil 16 al día hábil 20</w:t>
            </w:r>
          </w:p>
        </w:tc>
      </w:tr>
      <w:tr w:rsidR="00732844">
        <w:trPr>
          <w:trHeight w:val="645"/>
        </w:trPr>
        <w:tc>
          <w:tcPr>
            <w:tcW w:w="1560" w:type="dxa"/>
            <w:vMerge w:val="restart"/>
            <w:tcBorders>
              <w:top w:val="nil"/>
              <w:left w:val="single" w:sz="8" w:space="0" w:color="000000"/>
              <w:right w:val="single" w:sz="8" w:space="0" w:color="000000"/>
            </w:tcBorders>
          </w:tcPr>
          <w:p w:rsidR="00732844" w:rsidRDefault="00C152D7">
            <w:pPr>
              <w:rPr>
                <w:b/>
                <w:sz w:val="18"/>
                <w:szCs w:val="18"/>
              </w:rPr>
            </w:pPr>
            <w:r>
              <w:rPr>
                <w:b/>
                <w:sz w:val="18"/>
                <w:szCs w:val="18"/>
              </w:rPr>
              <w:t xml:space="preserve">Etapa de evaluación de postulaciones </w:t>
            </w: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sz w:val="18"/>
                <w:szCs w:val="18"/>
                <w:highlight w:val="white"/>
              </w:rPr>
            </w:pPr>
            <w:r>
              <w:rPr>
                <w:b/>
                <w:sz w:val="18"/>
                <w:szCs w:val="18"/>
              </w:rPr>
              <w:t xml:space="preserve">Evaluación de admisibilidad </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highlight w:val="white"/>
              </w:rPr>
            </w:pPr>
            <w:r>
              <w:rPr>
                <w:sz w:val="18"/>
                <w:szCs w:val="18"/>
                <w:highlight w:val="white"/>
              </w:rPr>
              <w:t xml:space="preserve">Al cierre de las postulaciones se procederá a hacer revisión de la documentación presentada para evaluar la admisibilidad de la propuesta. </w:t>
            </w:r>
            <w:r>
              <w:rPr>
                <w:sz w:val="18"/>
                <w:szCs w:val="18"/>
              </w:rPr>
              <w:t xml:space="preserve">En este proceso, de ser necesario, la Comisión Evaluadora podría contactarse, </w:t>
            </w:r>
            <w:r>
              <w:rPr>
                <w:sz w:val="18"/>
                <w:szCs w:val="18"/>
                <w:highlight w:val="white"/>
              </w:rPr>
              <w:t>durante los primeros 5 días hábiles,</w:t>
            </w:r>
            <w:r>
              <w:rPr>
                <w:sz w:val="18"/>
                <w:szCs w:val="18"/>
              </w:rPr>
              <w:t xml:space="preserve"> con las y los postulantes para solicitar información adicional o documentación de respaldo</w:t>
            </w:r>
            <w:r>
              <w:rPr>
                <w:sz w:val="18"/>
                <w:szCs w:val="18"/>
                <w:highlight w:val="white"/>
              </w:rPr>
              <w:t xml:space="preserve">. </w:t>
            </w:r>
          </w:p>
        </w:tc>
        <w:tc>
          <w:tcPr>
            <w:tcW w:w="1770" w:type="dxa"/>
            <w:tcBorders>
              <w:top w:val="nil"/>
              <w:left w:val="nil"/>
              <w:bottom w:val="single" w:sz="8" w:space="0" w:color="000000"/>
              <w:right w:val="single" w:sz="8" w:space="0" w:color="000000"/>
            </w:tcBorders>
          </w:tcPr>
          <w:p w:rsidR="00732844" w:rsidRDefault="00C152D7">
            <w:pPr>
              <w:jc w:val="both"/>
              <w:rPr>
                <w:sz w:val="18"/>
                <w:szCs w:val="18"/>
                <w:highlight w:val="white"/>
              </w:rPr>
            </w:pPr>
            <w:r>
              <w:rPr>
                <w:sz w:val="18"/>
                <w:szCs w:val="18"/>
                <w:highlight w:val="white"/>
              </w:rPr>
              <w:t>Día hábil 21 al día hábil 25</w:t>
            </w:r>
          </w:p>
        </w:tc>
      </w:tr>
      <w:tr w:rsidR="00732844">
        <w:trPr>
          <w:trHeight w:val="645"/>
        </w:trPr>
        <w:tc>
          <w:tcPr>
            <w:tcW w:w="1560" w:type="dxa"/>
            <w:vMerge/>
            <w:tcBorders>
              <w:top w:val="nil"/>
              <w:left w:val="single" w:sz="8" w:space="0" w:color="000000"/>
              <w:right w:val="single" w:sz="8" w:space="0" w:color="000000"/>
            </w:tcBorders>
          </w:tcPr>
          <w:p w:rsidR="00732844" w:rsidRDefault="00732844">
            <w:pPr>
              <w:widowControl w:val="0"/>
              <w:pBdr>
                <w:top w:val="nil"/>
                <w:left w:val="nil"/>
                <w:bottom w:val="nil"/>
                <w:right w:val="nil"/>
                <w:between w:val="nil"/>
              </w:pBdr>
              <w:rPr>
                <w:sz w:val="18"/>
                <w:szCs w:val="18"/>
                <w:highlight w:val="white"/>
              </w:rPr>
            </w:pP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b/>
                <w:sz w:val="18"/>
                <w:szCs w:val="18"/>
              </w:rPr>
            </w:pPr>
            <w:r>
              <w:rPr>
                <w:b/>
                <w:sz w:val="18"/>
                <w:szCs w:val="18"/>
              </w:rPr>
              <w:t>Evaluación documental</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rPr>
            </w:pPr>
            <w:r>
              <w:rPr>
                <w:sz w:val="18"/>
                <w:szCs w:val="18"/>
                <w:highlight w:val="white"/>
              </w:rPr>
              <w:t xml:space="preserve">Durante los 5 días hábiles próximos a la etapa de admisibilidad, el comité de evaluación realizará la evaluación documental de las propuestas según la rúbrica (Anexo 6). Se informará vía correo electrónico </w:t>
            </w:r>
            <w:r>
              <w:rPr>
                <w:sz w:val="18"/>
                <w:szCs w:val="18"/>
              </w:rPr>
              <w:t xml:space="preserve">el resultado de esta etapa tanto a quienes avancen a las entrevistas, como a quienes no lo hagan. </w:t>
            </w:r>
          </w:p>
        </w:tc>
        <w:tc>
          <w:tcPr>
            <w:tcW w:w="1770" w:type="dxa"/>
            <w:tcBorders>
              <w:top w:val="nil"/>
              <w:left w:val="nil"/>
              <w:bottom w:val="single" w:sz="8" w:space="0" w:color="000000"/>
              <w:right w:val="single" w:sz="8" w:space="0" w:color="000000"/>
            </w:tcBorders>
          </w:tcPr>
          <w:p w:rsidR="00732844" w:rsidRDefault="00C152D7">
            <w:pPr>
              <w:rPr>
                <w:sz w:val="18"/>
                <w:szCs w:val="18"/>
              </w:rPr>
            </w:pPr>
            <w:r>
              <w:rPr>
                <w:sz w:val="18"/>
                <w:szCs w:val="18"/>
              </w:rPr>
              <w:t>Día Hábil 26 al día hábil 31</w:t>
            </w:r>
          </w:p>
        </w:tc>
      </w:tr>
      <w:tr w:rsidR="00732844">
        <w:trPr>
          <w:trHeight w:val="645"/>
        </w:trPr>
        <w:tc>
          <w:tcPr>
            <w:tcW w:w="1560" w:type="dxa"/>
            <w:tcBorders>
              <w:left w:val="single" w:sz="8" w:space="0" w:color="000000"/>
              <w:bottom w:val="single" w:sz="8" w:space="0" w:color="000000"/>
              <w:right w:val="single" w:sz="8" w:space="0" w:color="000000"/>
            </w:tcBorders>
          </w:tcPr>
          <w:p w:rsidR="00732844" w:rsidRDefault="00732844">
            <w:pPr>
              <w:rPr>
                <w:b/>
                <w:sz w:val="18"/>
                <w:szCs w:val="18"/>
              </w:rPr>
            </w:pP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b/>
                <w:sz w:val="18"/>
                <w:szCs w:val="18"/>
              </w:rPr>
            </w:pPr>
            <w:r>
              <w:rPr>
                <w:b/>
                <w:sz w:val="18"/>
                <w:szCs w:val="18"/>
              </w:rPr>
              <w:t>Entrevistas</w:t>
            </w: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rPr>
            </w:pPr>
            <w:r>
              <w:rPr>
                <w:sz w:val="18"/>
                <w:szCs w:val="18"/>
              </w:rPr>
              <w:t>Aquellos equipos que avancen a la fase de entrevistas serán informados vía correo electrónico indicándose la fecha y hora en que realizará la entrevista vía Zoom con el comité de evaluación.</w:t>
            </w:r>
          </w:p>
          <w:p w:rsidR="00732844" w:rsidRDefault="00C152D7">
            <w:pPr>
              <w:jc w:val="both"/>
              <w:rPr>
                <w:sz w:val="18"/>
                <w:szCs w:val="18"/>
              </w:rPr>
            </w:pPr>
            <w:r>
              <w:rPr>
                <w:sz w:val="18"/>
                <w:szCs w:val="18"/>
              </w:rPr>
              <w:t xml:space="preserve">Aquellos equipos que no se presenten en la fecha y hora indicadas, serán automáticamente descalificados. </w:t>
            </w:r>
          </w:p>
        </w:tc>
        <w:tc>
          <w:tcPr>
            <w:tcW w:w="1770" w:type="dxa"/>
            <w:tcBorders>
              <w:top w:val="nil"/>
              <w:left w:val="nil"/>
              <w:bottom w:val="single" w:sz="8" w:space="0" w:color="000000"/>
              <w:right w:val="single" w:sz="8" w:space="0" w:color="000000"/>
            </w:tcBorders>
          </w:tcPr>
          <w:p w:rsidR="00732844" w:rsidRDefault="00C152D7">
            <w:pPr>
              <w:rPr>
                <w:sz w:val="18"/>
                <w:szCs w:val="18"/>
              </w:rPr>
            </w:pPr>
            <w:r>
              <w:rPr>
                <w:sz w:val="18"/>
                <w:szCs w:val="18"/>
              </w:rPr>
              <w:t>Día hábil 32 Al día hábil 40</w:t>
            </w:r>
          </w:p>
        </w:tc>
      </w:tr>
      <w:tr w:rsidR="00732844">
        <w:trPr>
          <w:trHeight w:val="1648"/>
        </w:trPr>
        <w:tc>
          <w:tcPr>
            <w:tcW w:w="1560" w:type="dxa"/>
            <w:tcBorders>
              <w:top w:val="nil"/>
              <w:left w:val="single" w:sz="8" w:space="0" w:color="000000"/>
              <w:bottom w:val="single" w:sz="8" w:space="0" w:color="000000"/>
              <w:right w:val="single" w:sz="8" w:space="0" w:color="000000"/>
            </w:tcBorders>
          </w:tcPr>
          <w:p w:rsidR="00732844" w:rsidRDefault="00732844">
            <w:pPr>
              <w:rPr>
                <w:b/>
                <w:sz w:val="18"/>
                <w:szCs w:val="18"/>
              </w:rPr>
            </w:pPr>
          </w:p>
        </w:tc>
        <w:tc>
          <w:tcPr>
            <w:tcW w:w="1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rPr>
                <w:sz w:val="18"/>
                <w:szCs w:val="18"/>
              </w:rPr>
            </w:pPr>
            <w:r>
              <w:rPr>
                <w:b/>
                <w:sz w:val="18"/>
                <w:szCs w:val="18"/>
              </w:rPr>
              <w:t>Adjudicación y difusión de resultados</w:t>
            </w:r>
          </w:p>
          <w:p w:rsidR="00732844" w:rsidRDefault="00732844">
            <w:pPr>
              <w:rPr>
                <w:b/>
                <w:sz w:val="18"/>
                <w:szCs w:val="18"/>
              </w:rPr>
            </w:pPr>
          </w:p>
        </w:tc>
        <w:tc>
          <w:tcPr>
            <w:tcW w:w="5325" w:type="dxa"/>
            <w:tcBorders>
              <w:top w:val="nil"/>
              <w:left w:val="nil"/>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rPr>
            </w:pPr>
            <w:r>
              <w:rPr>
                <w:sz w:val="18"/>
                <w:szCs w:val="18"/>
              </w:rPr>
              <w:t xml:space="preserve">1 día hábil posterior al cierre de la etapa anterior, se enviarán los resultados a la Dirección de Asesoría Jurídica para la elaboración de los decretos de adjudicación. Se informará, a través de correo electrónico y de la página web de la DGVM, los resultados de adjudicación 1 día hábil luego de haber </w:t>
            </w:r>
            <w:proofErr w:type="spellStart"/>
            <w:r>
              <w:rPr>
                <w:sz w:val="18"/>
                <w:szCs w:val="18"/>
              </w:rPr>
              <w:t>recepcionado</w:t>
            </w:r>
            <w:proofErr w:type="spellEnd"/>
            <w:r>
              <w:rPr>
                <w:sz w:val="18"/>
                <w:szCs w:val="18"/>
              </w:rPr>
              <w:t xml:space="preserve"> la información por parte de la unidad anteriormente mencionada. </w:t>
            </w:r>
          </w:p>
        </w:tc>
        <w:tc>
          <w:tcPr>
            <w:tcW w:w="1770" w:type="dxa"/>
            <w:tcBorders>
              <w:top w:val="nil"/>
              <w:left w:val="nil"/>
              <w:bottom w:val="single" w:sz="8" w:space="0" w:color="000000"/>
              <w:right w:val="single" w:sz="8" w:space="0" w:color="000000"/>
            </w:tcBorders>
          </w:tcPr>
          <w:p w:rsidR="00732844" w:rsidRDefault="00C152D7">
            <w:pPr>
              <w:rPr>
                <w:sz w:val="18"/>
                <w:szCs w:val="18"/>
              </w:rPr>
            </w:pPr>
            <w:r>
              <w:rPr>
                <w:sz w:val="18"/>
                <w:szCs w:val="18"/>
              </w:rPr>
              <w:t>Día hábil 41</w:t>
            </w:r>
          </w:p>
        </w:tc>
      </w:tr>
      <w:tr w:rsidR="00732844">
        <w:trPr>
          <w:trHeight w:val="492"/>
        </w:trPr>
        <w:tc>
          <w:tcPr>
            <w:tcW w:w="1560" w:type="dxa"/>
            <w:tcBorders>
              <w:top w:val="single" w:sz="8" w:space="0" w:color="000000"/>
              <w:left w:val="single" w:sz="8" w:space="0" w:color="000000"/>
              <w:bottom w:val="single" w:sz="4" w:space="0" w:color="000000"/>
              <w:right w:val="single" w:sz="8" w:space="0" w:color="000000"/>
            </w:tcBorders>
            <w:vAlign w:val="center"/>
          </w:tcPr>
          <w:p w:rsidR="00732844" w:rsidRDefault="00C152D7">
            <w:pPr>
              <w:rPr>
                <w:b/>
                <w:sz w:val="18"/>
                <w:szCs w:val="18"/>
                <w:highlight w:val="white"/>
              </w:rPr>
            </w:pPr>
            <w:r>
              <w:rPr>
                <w:b/>
                <w:sz w:val="18"/>
                <w:szCs w:val="18"/>
                <w:highlight w:val="white"/>
              </w:rPr>
              <w:t xml:space="preserve">Etapa de ejecución </w:t>
            </w:r>
          </w:p>
        </w:tc>
        <w:tc>
          <w:tcPr>
            <w:tcW w:w="852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2844" w:rsidRDefault="00C152D7">
            <w:pPr>
              <w:jc w:val="both"/>
              <w:rPr>
                <w:sz w:val="18"/>
                <w:szCs w:val="18"/>
              </w:rPr>
            </w:pPr>
            <w:r>
              <w:rPr>
                <w:sz w:val="18"/>
                <w:szCs w:val="18"/>
                <w:highlight w:val="white"/>
              </w:rPr>
              <w:t xml:space="preserve">Los proyectos comenzarán a ejecutarse a contar del </w:t>
            </w:r>
            <w:r>
              <w:rPr>
                <w:sz w:val="18"/>
                <w:szCs w:val="18"/>
              </w:rPr>
              <w:t xml:space="preserve">primer semestre del año 2025. El inicio del proyecto se cuenta a partir del envío del decreto por parte de la DGVM.  </w:t>
            </w:r>
          </w:p>
          <w:p w:rsidR="00732844" w:rsidRDefault="00C152D7">
            <w:pPr>
              <w:jc w:val="both"/>
              <w:rPr>
                <w:sz w:val="18"/>
                <w:szCs w:val="18"/>
              </w:rPr>
            </w:pPr>
            <w:r>
              <w:rPr>
                <w:color w:val="7030A0"/>
                <w:sz w:val="18"/>
                <w:szCs w:val="18"/>
              </w:rPr>
              <w:t xml:space="preserve">La </w:t>
            </w:r>
            <w:r>
              <w:rPr>
                <w:sz w:val="18"/>
                <w:szCs w:val="18"/>
                <w:highlight w:val="white"/>
              </w:rPr>
              <w:t>Unidad de Vinculación Académica y Desarrollo Territorial</w:t>
            </w:r>
            <w:r>
              <w:rPr>
                <w:color w:val="7030A0"/>
                <w:sz w:val="18"/>
                <w:szCs w:val="18"/>
              </w:rPr>
              <w:t xml:space="preserve"> </w:t>
            </w:r>
            <w:r>
              <w:rPr>
                <w:sz w:val="18"/>
                <w:szCs w:val="18"/>
              </w:rPr>
              <w:t>se pondrá en contacto con los equipos y se entregará la información necesaria para la ejecución, así como de sus respectivos CR.</w:t>
            </w:r>
          </w:p>
          <w:p w:rsidR="00732844" w:rsidRDefault="00C152D7">
            <w:pPr>
              <w:jc w:val="both"/>
              <w:rPr>
                <w:sz w:val="18"/>
                <w:szCs w:val="18"/>
              </w:rPr>
            </w:pPr>
            <w:r>
              <w:rPr>
                <w:sz w:val="18"/>
                <w:szCs w:val="18"/>
                <w:highlight w:val="white"/>
              </w:rPr>
              <w:t xml:space="preserve">Todos los proyectos se ejecutarán durante </w:t>
            </w:r>
            <w:r>
              <w:rPr>
                <w:b/>
                <w:sz w:val="18"/>
                <w:szCs w:val="18"/>
                <w:highlight w:val="white"/>
              </w:rPr>
              <w:t>el primer y segundo semestre de 2025</w:t>
            </w:r>
            <w:r>
              <w:rPr>
                <w:sz w:val="18"/>
                <w:szCs w:val="18"/>
                <w:highlight w:val="white"/>
              </w:rPr>
              <w:t>, siendo la</w:t>
            </w:r>
            <w:r>
              <w:rPr>
                <w:sz w:val="18"/>
                <w:szCs w:val="18"/>
              </w:rPr>
              <w:t xml:space="preserve"> actividad de cierre en diciembre del año 2025 o enero del año 2026.</w:t>
            </w:r>
          </w:p>
        </w:tc>
      </w:tr>
    </w:tbl>
    <w:p w:rsidR="00732844" w:rsidRDefault="00C152D7">
      <w:pPr>
        <w:spacing w:before="240" w:after="160"/>
        <w:jc w:val="both"/>
        <w:rPr>
          <w:rFonts w:ascii="Calibri" w:eastAsia="Calibri" w:hAnsi="Calibri" w:cs="Calibri"/>
          <w:highlight w:val="white"/>
        </w:rPr>
      </w:pPr>
      <w:r>
        <w:rPr>
          <w:rFonts w:ascii="Calibri" w:eastAsia="Calibri" w:hAnsi="Calibri" w:cs="Calibri"/>
          <w:highlight w:val="white"/>
        </w:rPr>
        <w:t xml:space="preserve">Para postular al concurso, la documentación debe ser enviada </w:t>
      </w:r>
      <w:r>
        <w:rPr>
          <w:rFonts w:ascii="Calibri" w:eastAsia="Calibri" w:hAnsi="Calibri" w:cs="Calibri"/>
          <w:b/>
          <w:highlight w:val="white"/>
        </w:rPr>
        <w:t>únicamente</w:t>
      </w:r>
      <w:r>
        <w:rPr>
          <w:rFonts w:ascii="Calibri" w:eastAsia="Calibri" w:hAnsi="Calibri" w:cs="Calibri"/>
          <w:highlight w:val="white"/>
        </w:rPr>
        <w:t xml:space="preserve"> al correo </w:t>
      </w:r>
      <w:hyperlink r:id="rId15">
        <w:r>
          <w:rPr>
            <w:rFonts w:ascii="Calibri" w:eastAsia="Calibri" w:hAnsi="Calibri" w:cs="Calibri"/>
            <w:color w:val="0000FF"/>
            <w:u w:val="single"/>
          </w:rPr>
          <w:t>unidadinnovacionsocial@upla.cl</w:t>
        </w:r>
      </w:hyperlink>
      <w:r>
        <w:t xml:space="preserve"> </w:t>
      </w:r>
      <w:r>
        <w:rPr>
          <w:rFonts w:ascii="Calibri" w:eastAsia="Calibri" w:hAnsi="Calibri" w:cs="Calibri"/>
          <w:highlight w:val="white"/>
        </w:rPr>
        <w:t>con asunto CONCURSO FONDO SOCIAL CREALAB,  especificando en el cuerpo del correo a la modalidad que desea postular (Fondo Inicial o Fondo Consolidado).</w:t>
      </w:r>
    </w:p>
    <w:p w:rsidR="00732844" w:rsidRDefault="00C152D7">
      <w:pPr>
        <w:numPr>
          <w:ilvl w:val="0"/>
          <w:numId w:val="9"/>
        </w:numPr>
        <w:spacing w:before="240" w:after="240"/>
        <w:jc w:val="both"/>
        <w:rPr>
          <w:rFonts w:ascii="Calibri" w:eastAsia="Calibri" w:hAnsi="Calibri" w:cs="Calibri"/>
          <w:b/>
          <w:color w:val="202124"/>
          <w:sz w:val="24"/>
          <w:szCs w:val="24"/>
          <w:highlight w:val="white"/>
        </w:rPr>
      </w:pPr>
      <w:r>
        <w:rPr>
          <w:rFonts w:ascii="Calibri" w:eastAsia="Calibri" w:hAnsi="Calibri" w:cs="Calibri"/>
          <w:b/>
          <w:color w:val="202124"/>
          <w:sz w:val="24"/>
          <w:szCs w:val="24"/>
          <w:highlight w:val="white"/>
        </w:rPr>
        <w:t>Criterios de evaluación y admisibilidad</w:t>
      </w:r>
    </w:p>
    <w:p w:rsidR="00732844" w:rsidRDefault="00C152D7">
      <w:pPr>
        <w:spacing w:after="200"/>
        <w:jc w:val="both"/>
        <w:rPr>
          <w:rFonts w:ascii="Calibri" w:eastAsia="Calibri" w:hAnsi="Calibri" w:cs="Calibri"/>
          <w:b/>
          <w:color w:val="202124"/>
          <w:highlight w:val="white"/>
        </w:rPr>
      </w:pPr>
      <w:r>
        <w:rPr>
          <w:rFonts w:ascii="Calibri" w:eastAsia="Calibri" w:hAnsi="Calibri" w:cs="Calibri"/>
          <w:b/>
          <w:color w:val="202124"/>
          <w:highlight w:val="white"/>
        </w:rPr>
        <w:t xml:space="preserve">Los documentos requeridos para la admisibilidad de las postulaciones son los siguientes: </w:t>
      </w:r>
    </w:p>
    <w:p w:rsidR="00732844" w:rsidRDefault="00C152D7">
      <w:pPr>
        <w:numPr>
          <w:ilvl w:val="0"/>
          <w:numId w:val="8"/>
        </w:numPr>
        <w:pBdr>
          <w:top w:val="nil"/>
          <w:left w:val="nil"/>
          <w:bottom w:val="nil"/>
          <w:right w:val="nil"/>
          <w:between w:val="nil"/>
        </w:pBdr>
        <w:jc w:val="both"/>
        <w:rPr>
          <w:rFonts w:ascii="Calibri" w:eastAsia="Calibri" w:hAnsi="Calibri" w:cs="Calibri"/>
          <w:color w:val="202124"/>
        </w:rPr>
      </w:pPr>
      <w:r>
        <w:rPr>
          <w:rFonts w:ascii="Calibri" w:eastAsia="Calibri" w:hAnsi="Calibri" w:cs="Calibri"/>
          <w:color w:val="202124"/>
        </w:rPr>
        <w:t>Formulario de postulación (Anexo 1)</w:t>
      </w:r>
    </w:p>
    <w:p w:rsidR="00732844" w:rsidRDefault="00C152D7">
      <w:pPr>
        <w:numPr>
          <w:ilvl w:val="0"/>
          <w:numId w:val="8"/>
        </w:numPr>
        <w:pBdr>
          <w:top w:val="nil"/>
          <w:left w:val="nil"/>
          <w:bottom w:val="nil"/>
          <w:right w:val="nil"/>
          <w:between w:val="nil"/>
        </w:pBdr>
        <w:jc w:val="both"/>
        <w:rPr>
          <w:rFonts w:ascii="Calibri" w:eastAsia="Calibri" w:hAnsi="Calibri" w:cs="Calibri"/>
          <w:color w:val="202124"/>
          <w:highlight w:val="white"/>
        </w:rPr>
      </w:pPr>
      <w:r>
        <w:rPr>
          <w:rFonts w:ascii="Calibri" w:eastAsia="Calibri" w:hAnsi="Calibri" w:cs="Calibri"/>
          <w:color w:val="202124"/>
        </w:rPr>
        <w:t>Formulario de monitoreo y evaluación (Anexo 2)</w:t>
      </w:r>
    </w:p>
    <w:p w:rsidR="00732844" w:rsidRDefault="00C152D7">
      <w:pPr>
        <w:numPr>
          <w:ilvl w:val="0"/>
          <w:numId w:val="8"/>
        </w:numPr>
        <w:pBdr>
          <w:top w:val="nil"/>
          <w:left w:val="nil"/>
          <w:bottom w:val="nil"/>
          <w:right w:val="nil"/>
          <w:between w:val="nil"/>
        </w:pBdr>
        <w:jc w:val="both"/>
        <w:rPr>
          <w:rFonts w:ascii="Calibri" w:eastAsia="Calibri" w:hAnsi="Calibri" w:cs="Calibri"/>
          <w:color w:val="202124"/>
        </w:rPr>
      </w:pPr>
      <w:r>
        <w:rPr>
          <w:rFonts w:ascii="Calibri" w:eastAsia="Calibri" w:hAnsi="Calibri" w:cs="Calibri"/>
          <w:color w:val="202124"/>
        </w:rPr>
        <w:t xml:space="preserve">Carta de apoyo </w:t>
      </w:r>
      <w:r>
        <w:rPr>
          <w:rFonts w:ascii="Calibri" w:eastAsia="Calibri" w:hAnsi="Calibri" w:cs="Calibri"/>
        </w:rPr>
        <w:t>actor territorial relevante</w:t>
      </w:r>
      <w:r>
        <w:rPr>
          <w:rFonts w:ascii="Calibri" w:eastAsia="Calibri" w:hAnsi="Calibri" w:cs="Calibri"/>
          <w:color w:val="202124"/>
        </w:rPr>
        <w:t xml:space="preserve"> (Anexo 3)</w:t>
      </w:r>
    </w:p>
    <w:p w:rsidR="00732844" w:rsidRDefault="00C152D7">
      <w:pPr>
        <w:numPr>
          <w:ilvl w:val="0"/>
          <w:numId w:val="8"/>
        </w:numPr>
        <w:pBdr>
          <w:top w:val="nil"/>
          <w:left w:val="nil"/>
          <w:bottom w:val="nil"/>
          <w:right w:val="nil"/>
          <w:between w:val="nil"/>
        </w:pBdr>
        <w:jc w:val="both"/>
        <w:rPr>
          <w:rFonts w:ascii="Calibri" w:eastAsia="Calibri" w:hAnsi="Calibri" w:cs="Calibri"/>
          <w:color w:val="202124"/>
        </w:rPr>
      </w:pPr>
      <w:r>
        <w:rPr>
          <w:rFonts w:ascii="Calibri" w:eastAsia="Calibri" w:hAnsi="Calibri" w:cs="Calibri"/>
          <w:color w:val="202124"/>
        </w:rPr>
        <w:t>Carta de patrocinio por parte de Directores/as de Departamento, Directores de Carrera, Decanatura y jefaturas de unidades de gestión (en caso de que corresponda) que avalen la participación de cada integrante y asignaturas involucradas (Anexo 4)</w:t>
      </w:r>
    </w:p>
    <w:p w:rsidR="00732844" w:rsidRDefault="00C152D7">
      <w:pPr>
        <w:numPr>
          <w:ilvl w:val="0"/>
          <w:numId w:val="8"/>
        </w:numPr>
        <w:pBdr>
          <w:top w:val="nil"/>
          <w:left w:val="nil"/>
          <w:bottom w:val="nil"/>
          <w:right w:val="nil"/>
          <w:between w:val="nil"/>
        </w:pBdr>
        <w:jc w:val="both"/>
        <w:rPr>
          <w:rFonts w:ascii="Calibri" w:eastAsia="Calibri" w:hAnsi="Calibri" w:cs="Calibri"/>
          <w:color w:val="202124"/>
          <w:highlight w:val="white"/>
        </w:rPr>
      </w:pPr>
      <w:r>
        <w:rPr>
          <w:rFonts w:ascii="Calibri" w:eastAsia="Calibri" w:hAnsi="Calibri" w:cs="Calibri"/>
          <w:color w:val="202124"/>
        </w:rPr>
        <w:t>Carta de compromiso (Anexo 5)</w:t>
      </w:r>
    </w:p>
    <w:p w:rsidR="00732844" w:rsidRDefault="00732844">
      <w:pPr>
        <w:pBdr>
          <w:top w:val="nil"/>
          <w:left w:val="nil"/>
          <w:bottom w:val="nil"/>
          <w:right w:val="nil"/>
          <w:between w:val="nil"/>
        </w:pBdr>
        <w:spacing w:after="200"/>
        <w:jc w:val="both"/>
        <w:rPr>
          <w:rFonts w:ascii="Calibri" w:eastAsia="Calibri" w:hAnsi="Calibri" w:cs="Calibri"/>
          <w:b/>
          <w:color w:val="202124"/>
          <w:highlight w:val="yellow"/>
        </w:rPr>
      </w:pPr>
    </w:p>
    <w:p w:rsidR="00732844" w:rsidRDefault="00732844">
      <w:pPr>
        <w:pBdr>
          <w:top w:val="nil"/>
          <w:left w:val="nil"/>
          <w:bottom w:val="nil"/>
          <w:right w:val="nil"/>
          <w:between w:val="nil"/>
        </w:pBdr>
        <w:spacing w:after="200"/>
        <w:jc w:val="both"/>
        <w:rPr>
          <w:rFonts w:ascii="Calibri" w:eastAsia="Calibri" w:hAnsi="Calibri" w:cs="Calibri"/>
          <w:b/>
          <w:color w:val="202124"/>
          <w:highlight w:val="yellow"/>
        </w:rPr>
      </w:pPr>
    </w:p>
    <w:p w:rsidR="00732844" w:rsidRDefault="00732844">
      <w:pPr>
        <w:pBdr>
          <w:top w:val="nil"/>
          <w:left w:val="nil"/>
          <w:bottom w:val="nil"/>
          <w:right w:val="nil"/>
          <w:between w:val="nil"/>
        </w:pBdr>
        <w:spacing w:after="200"/>
        <w:jc w:val="both"/>
        <w:rPr>
          <w:rFonts w:ascii="Calibri" w:eastAsia="Calibri" w:hAnsi="Calibri" w:cs="Calibri"/>
          <w:b/>
          <w:color w:val="202124"/>
          <w:highlight w:val="yellow"/>
        </w:rPr>
      </w:pPr>
    </w:p>
    <w:p w:rsidR="00732844" w:rsidRDefault="00C152D7">
      <w:pPr>
        <w:pBdr>
          <w:top w:val="nil"/>
          <w:left w:val="nil"/>
          <w:bottom w:val="nil"/>
          <w:right w:val="nil"/>
          <w:between w:val="nil"/>
        </w:pBdr>
        <w:spacing w:after="200"/>
        <w:jc w:val="both"/>
        <w:rPr>
          <w:rFonts w:ascii="Calibri" w:eastAsia="Calibri" w:hAnsi="Calibri" w:cs="Calibri"/>
          <w:b/>
          <w:color w:val="202124"/>
        </w:rPr>
      </w:pPr>
      <w:r>
        <w:rPr>
          <w:rFonts w:ascii="Calibri" w:eastAsia="Calibri" w:hAnsi="Calibri" w:cs="Calibri"/>
          <w:b/>
          <w:color w:val="202124"/>
        </w:rPr>
        <w:lastRenderedPageBreak/>
        <w:t xml:space="preserve">Los criterios de evaluación, y sus respectivas ponderaciones, son los siguientes y su definición se especifica en el anexo n°6: </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Aspectos formales</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Coherencia interna de la propuesta</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Alineación con la Política Institucional de Vinculación con el Medio</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Contribución al desarrollo local/regional</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Pertinencia territorial</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Relación con el actor territorial relevante</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Definición de roles asumidos por el equipo UPLA</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Rol asumido por el actor territorial relevante.</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Vinculación con procesos académicos/formativos</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Enfoque bidireccional</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Interdisciplinariedad</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 xml:space="preserve">Contribuciones </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Plan de trabajo</w:t>
      </w:r>
    </w:p>
    <w:p w:rsidR="00732844" w:rsidRDefault="00C152D7">
      <w:pPr>
        <w:numPr>
          <w:ilvl w:val="0"/>
          <w:numId w:val="6"/>
        </w:num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Sostenibilidad y escalamiento</w:t>
      </w:r>
    </w:p>
    <w:p w:rsidR="00732844" w:rsidRDefault="00C152D7">
      <w:p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 xml:space="preserve">Así mismo, se valorará con puntaje adicional el trabajo con egresados y egresadas de la universidad. </w:t>
      </w:r>
    </w:p>
    <w:p w:rsidR="00732844" w:rsidRDefault="00C152D7">
      <w:pPr>
        <w:pBdr>
          <w:top w:val="nil"/>
          <w:left w:val="nil"/>
          <w:bottom w:val="nil"/>
          <w:right w:val="nil"/>
          <w:between w:val="nil"/>
        </w:pBdr>
        <w:spacing w:after="200"/>
        <w:jc w:val="both"/>
        <w:rPr>
          <w:rFonts w:ascii="Calibri" w:eastAsia="Calibri" w:hAnsi="Calibri" w:cs="Calibri"/>
          <w:color w:val="202124"/>
        </w:rPr>
      </w:pPr>
      <w:r>
        <w:rPr>
          <w:rFonts w:ascii="Calibri" w:eastAsia="Calibri" w:hAnsi="Calibri" w:cs="Calibri"/>
          <w:color w:val="202124"/>
        </w:rPr>
        <w:t xml:space="preserve">En el caso de los proyectos que postulen al Fondo de Consolidación, estos contarán con un puntaje adicional (5 </w:t>
      </w:r>
      <w:proofErr w:type="spellStart"/>
      <w:r>
        <w:rPr>
          <w:rFonts w:ascii="Calibri" w:eastAsia="Calibri" w:hAnsi="Calibri" w:cs="Calibri"/>
          <w:color w:val="202124"/>
        </w:rPr>
        <w:t>ptos</w:t>
      </w:r>
      <w:proofErr w:type="spellEnd"/>
      <w:r>
        <w:rPr>
          <w:rFonts w:ascii="Calibri" w:eastAsia="Calibri" w:hAnsi="Calibri" w:cs="Calibri"/>
          <w:color w:val="202124"/>
        </w:rPr>
        <w:t xml:space="preserve">) si cuentan con registros previos en la plataforma SINTE. </w:t>
      </w:r>
      <w:r>
        <w:rPr>
          <w:rFonts w:ascii="Calibri" w:eastAsia="Calibri" w:hAnsi="Calibri" w:cs="Calibri"/>
          <w:color w:val="202124"/>
          <w:vertAlign w:val="superscript"/>
        </w:rPr>
        <w:footnoteReference w:id="23"/>
      </w:r>
    </w:p>
    <w:p w:rsidR="00732844" w:rsidRDefault="00C152D7">
      <w:pPr>
        <w:spacing w:before="240" w:after="240"/>
        <w:jc w:val="both"/>
        <w:rPr>
          <w:rFonts w:ascii="Calibri" w:eastAsia="Calibri" w:hAnsi="Calibri" w:cs="Calibri"/>
        </w:rPr>
      </w:pPr>
      <w:r>
        <w:rPr>
          <w:rFonts w:ascii="Calibri" w:eastAsia="Calibri" w:hAnsi="Calibri" w:cs="Calibri"/>
          <w:b/>
          <w:sz w:val="24"/>
          <w:szCs w:val="24"/>
        </w:rPr>
        <w:t>Restricciones de la postulación:</w:t>
      </w:r>
    </w:p>
    <w:p w:rsidR="00732844" w:rsidRDefault="00C152D7">
      <w:pPr>
        <w:numPr>
          <w:ilvl w:val="0"/>
          <w:numId w:val="8"/>
        </w:numPr>
        <w:spacing w:before="240"/>
        <w:jc w:val="both"/>
        <w:rPr>
          <w:rFonts w:ascii="Calibri" w:eastAsia="Calibri" w:hAnsi="Calibri" w:cs="Calibri"/>
        </w:rPr>
      </w:pPr>
      <w:r>
        <w:rPr>
          <w:rFonts w:ascii="Calibri" w:eastAsia="Calibri" w:hAnsi="Calibri" w:cs="Calibri"/>
        </w:rPr>
        <w:t>Se restringe la participación de un mismo actor territorial relevante en más de un proyecto en el marco de esta convocatoria.</w:t>
      </w:r>
    </w:p>
    <w:p w:rsidR="00732844" w:rsidRDefault="00C152D7">
      <w:pPr>
        <w:numPr>
          <w:ilvl w:val="0"/>
          <w:numId w:val="8"/>
        </w:numPr>
        <w:spacing w:before="240"/>
        <w:jc w:val="both"/>
        <w:rPr>
          <w:rFonts w:ascii="Calibri" w:eastAsia="Calibri" w:hAnsi="Calibri" w:cs="Calibri"/>
        </w:rPr>
      </w:pPr>
      <w:r>
        <w:rPr>
          <w:rFonts w:ascii="Calibri" w:eastAsia="Calibri" w:hAnsi="Calibri" w:cs="Calibri"/>
        </w:rPr>
        <w:t xml:space="preserve">En la presente convocatoria no se financiarán proyectos adjudicados anteriormente con fondos otorgados por la Dirección General de Vinculación con el Medio, salvo aquellas iniciativas que postulen al fondo consolidado. </w:t>
      </w:r>
    </w:p>
    <w:p w:rsidR="00732844" w:rsidRDefault="00C152D7">
      <w:pPr>
        <w:numPr>
          <w:ilvl w:val="0"/>
          <w:numId w:val="8"/>
        </w:numPr>
        <w:spacing w:before="240"/>
        <w:jc w:val="both"/>
        <w:rPr>
          <w:rFonts w:ascii="Calibri" w:eastAsia="Calibri" w:hAnsi="Calibri" w:cs="Calibri"/>
        </w:rPr>
      </w:pPr>
      <w:r>
        <w:rPr>
          <w:rFonts w:ascii="Calibri" w:eastAsia="Calibri" w:hAnsi="Calibri" w:cs="Calibri"/>
        </w:rPr>
        <w:lastRenderedPageBreak/>
        <w:t xml:space="preserve">En la presente convocatoria no se financiarán proyectos fragmentados, con esto se hace referencia a iniciativas que sean parte de un mismo proyecto y/o que respondan a objetivos de un proyecto de financiamiento externo. </w:t>
      </w:r>
    </w:p>
    <w:p w:rsidR="00732844" w:rsidRDefault="00C152D7">
      <w:pPr>
        <w:numPr>
          <w:ilvl w:val="0"/>
          <w:numId w:val="8"/>
        </w:numPr>
        <w:spacing w:before="240"/>
        <w:jc w:val="both"/>
        <w:rPr>
          <w:rFonts w:ascii="Calibri" w:eastAsia="Calibri" w:hAnsi="Calibri" w:cs="Calibri"/>
        </w:rPr>
      </w:pPr>
      <w:r>
        <w:rPr>
          <w:rFonts w:ascii="Calibri" w:eastAsia="Calibri" w:hAnsi="Calibri" w:cs="Calibri"/>
        </w:rPr>
        <w:t xml:space="preserve">Se deja establecido que no podrán participar aquellos equipos que no envíen los documentos solicitados en los tiempos definidos, falsifiquen datos entregados u omitan información relevante que influya en el desarrollo del proyecto. En el caso que se </w:t>
      </w:r>
      <w:proofErr w:type="gramStart"/>
      <w:r>
        <w:rPr>
          <w:rFonts w:ascii="Calibri" w:eastAsia="Calibri" w:hAnsi="Calibri" w:cs="Calibri"/>
        </w:rPr>
        <w:t>detectara</w:t>
      </w:r>
      <w:proofErr w:type="gramEnd"/>
      <w:r>
        <w:rPr>
          <w:rFonts w:ascii="Calibri" w:eastAsia="Calibri" w:hAnsi="Calibri" w:cs="Calibri"/>
        </w:rPr>
        <w:t xml:space="preserve"> alguna de estas situaciones con posterioridad a la adjudicación, </w:t>
      </w:r>
      <w:r>
        <w:rPr>
          <w:rFonts w:ascii="Calibri" w:eastAsia="Calibri" w:hAnsi="Calibri" w:cs="Calibri"/>
          <w:b/>
        </w:rPr>
        <w:t>se pondrá término inmediato a la ejecución del proyecto.</w:t>
      </w:r>
    </w:p>
    <w:p w:rsidR="00732844" w:rsidRDefault="00C152D7">
      <w:pPr>
        <w:numPr>
          <w:ilvl w:val="0"/>
          <w:numId w:val="8"/>
        </w:numPr>
        <w:spacing w:before="240"/>
        <w:jc w:val="both"/>
        <w:rPr>
          <w:rFonts w:ascii="Calibri" w:eastAsia="Calibri" w:hAnsi="Calibri" w:cs="Calibri"/>
        </w:rPr>
      </w:pPr>
      <w:r>
        <w:rPr>
          <w:rFonts w:ascii="Calibri" w:eastAsia="Calibri" w:hAnsi="Calibri" w:cs="Calibri"/>
        </w:rPr>
        <w:t xml:space="preserve">No podrán participar aquellos académicos/as que hayan sido parte de equipos que no hayan cerrado sus iniciativas satisfactoriamente en convocatorias anteriores al 2024. </w:t>
      </w:r>
    </w:p>
    <w:p w:rsidR="00732844" w:rsidRDefault="00C152D7">
      <w:pPr>
        <w:numPr>
          <w:ilvl w:val="0"/>
          <w:numId w:val="8"/>
        </w:numPr>
        <w:spacing w:before="240"/>
        <w:jc w:val="both"/>
        <w:rPr>
          <w:rFonts w:ascii="Calibri" w:eastAsia="Calibri" w:hAnsi="Calibri" w:cs="Calibri"/>
        </w:rPr>
      </w:pPr>
      <w:r>
        <w:rPr>
          <w:rFonts w:ascii="Calibri" w:eastAsia="Calibri" w:hAnsi="Calibri" w:cs="Calibri"/>
        </w:rPr>
        <w:t xml:space="preserve">Aquellos/as académicos/as que sean parte de equipos con iniciativas financiadas con el Social CreaLab 2024, no pueden tener pendiente la entrega del informe de avance y el registro SINTE de sus actividades debe estar al día. </w:t>
      </w:r>
    </w:p>
    <w:p w:rsidR="00732844" w:rsidRDefault="00C152D7">
      <w:pPr>
        <w:numPr>
          <w:ilvl w:val="0"/>
          <w:numId w:val="8"/>
        </w:numPr>
        <w:spacing w:before="240"/>
        <w:jc w:val="both"/>
        <w:rPr>
          <w:rFonts w:ascii="Calibri" w:eastAsia="Calibri" w:hAnsi="Calibri" w:cs="Calibri"/>
        </w:rPr>
      </w:pPr>
      <w:r>
        <w:rPr>
          <w:rFonts w:ascii="Calibri" w:eastAsia="Calibri" w:hAnsi="Calibri" w:cs="Calibri"/>
        </w:rPr>
        <w:t xml:space="preserve">Los productos elaborados en el marco de este fondo concursable no podrán ser comercializados y el no cumplimiento significará el término anticipado del proyecto y la derivación del caso a la instancia correspondiente. </w:t>
      </w:r>
    </w:p>
    <w:p w:rsidR="00732844" w:rsidRDefault="00C152D7">
      <w:pPr>
        <w:numPr>
          <w:ilvl w:val="0"/>
          <w:numId w:val="9"/>
        </w:numPr>
        <w:spacing w:before="240" w:after="240"/>
        <w:jc w:val="both"/>
        <w:rPr>
          <w:rFonts w:ascii="Calibri" w:eastAsia="Calibri" w:hAnsi="Calibri" w:cs="Calibri"/>
          <w:b/>
          <w:color w:val="202124"/>
          <w:sz w:val="24"/>
          <w:szCs w:val="24"/>
          <w:highlight w:val="white"/>
        </w:rPr>
      </w:pPr>
      <w:r>
        <w:rPr>
          <w:rFonts w:ascii="Calibri" w:eastAsia="Calibri" w:hAnsi="Calibri" w:cs="Calibri"/>
          <w:b/>
          <w:color w:val="202124"/>
          <w:sz w:val="24"/>
          <w:szCs w:val="24"/>
          <w:highlight w:val="white"/>
        </w:rPr>
        <w:t>Implementación, seguimiento y finalización de los proyectos adjudicados:</w:t>
      </w:r>
    </w:p>
    <w:p w:rsidR="00732844" w:rsidRDefault="00C152D7">
      <w:pPr>
        <w:spacing w:before="200"/>
        <w:jc w:val="both"/>
        <w:rPr>
          <w:rFonts w:ascii="Calibri" w:eastAsia="Calibri" w:hAnsi="Calibri" w:cs="Calibri"/>
        </w:rPr>
      </w:pPr>
      <w:r>
        <w:rPr>
          <w:rFonts w:ascii="Calibri" w:eastAsia="Calibri" w:hAnsi="Calibri" w:cs="Calibri"/>
          <w:highlight w:val="white"/>
        </w:rPr>
        <w:t>Una vez adjudicados los recursos, se podrá hacer uso de éstos para el desarrollo de la iniciativa, los cuales serán administrados por</w:t>
      </w:r>
      <w:r>
        <w:rPr>
          <w:rFonts w:ascii="Calibri" w:eastAsia="Calibri" w:hAnsi="Calibri" w:cs="Calibri"/>
        </w:rPr>
        <w:t xml:space="preserve"> el/la académico/a responsable del proyecto. </w:t>
      </w:r>
    </w:p>
    <w:p w:rsidR="00732844" w:rsidRDefault="00C152D7">
      <w:pPr>
        <w:spacing w:before="200"/>
        <w:jc w:val="both"/>
        <w:rPr>
          <w:rFonts w:ascii="Calibri" w:eastAsia="Calibri" w:hAnsi="Calibri" w:cs="Calibri"/>
          <w:highlight w:val="white"/>
        </w:rPr>
      </w:pPr>
      <w:r>
        <w:rPr>
          <w:rFonts w:ascii="Calibri" w:eastAsia="Calibri" w:hAnsi="Calibri" w:cs="Calibri"/>
          <w:highlight w:val="white"/>
        </w:rPr>
        <w:t>La Unidad de Vinculación Académica y Desarrollo Territorial (UVAT) de la Dirección General de Vinculación con el Medio será responsable del seguimiento y orientación durante el desarrollo de cada iniciativa.</w:t>
      </w:r>
      <w:r>
        <w:rPr>
          <w:rFonts w:ascii="Calibri" w:eastAsia="Calibri" w:hAnsi="Calibri" w:cs="Calibri"/>
          <w:highlight w:val="white"/>
          <w:vertAlign w:val="superscript"/>
        </w:rPr>
        <w:footnoteReference w:id="24"/>
      </w:r>
      <w:r>
        <w:rPr>
          <w:rFonts w:ascii="Calibri" w:eastAsia="Calibri" w:hAnsi="Calibri" w:cs="Calibri"/>
          <w:highlight w:val="white"/>
          <w:vertAlign w:val="superscript"/>
        </w:rPr>
        <w:t xml:space="preserve"> </w:t>
      </w:r>
      <w:r>
        <w:rPr>
          <w:rFonts w:ascii="Calibri" w:eastAsia="Calibri" w:hAnsi="Calibri" w:cs="Calibri"/>
          <w:highlight w:val="white"/>
        </w:rPr>
        <w:t>Al momento de la adjudicación de los proyectos, la UVAT contactará a los equipos para agendar la primera reunión de seguimiento y entregar información relevante sobre el proceso. Mensualmente se agendará reuniones para resolver dudas y mantener una comunicación directa con la DGVM a través de la UVAT mientras se hace el seguimiento de las actividades.</w:t>
      </w:r>
      <w:r>
        <w:rPr>
          <w:rFonts w:ascii="Calibri" w:eastAsia="Calibri" w:hAnsi="Calibri" w:cs="Calibri"/>
          <w:color w:val="7030A0"/>
          <w:highlight w:val="white"/>
        </w:rPr>
        <w:t xml:space="preserve"> </w:t>
      </w:r>
      <w:r>
        <w:rPr>
          <w:rFonts w:ascii="Calibri" w:eastAsia="Calibri" w:hAnsi="Calibri" w:cs="Calibri"/>
          <w:highlight w:val="white"/>
        </w:rPr>
        <w:t>Adicionalmente, se solicitará a los y las directores/as de proyecto reportes de avances, de acuerdo a lo comprometido en el cronograma entregado en el proceso de postulación (</w:t>
      </w:r>
      <w:r>
        <w:rPr>
          <w:rFonts w:ascii="Calibri" w:eastAsia="Calibri" w:hAnsi="Calibri" w:cs="Calibri"/>
        </w:rPr>
        <w:t>Anexo N° 2</w:t>
      </w:r>
      <w:r>
        <w:rPr>
          <w:rFonts w:ascii="Calibri" w:eastAsia="Calibri" w:hAnsi="Calibri" w:cs="Calibri"/>
          <w:highlight w:val="white"/>
        </w:rPr>
        <w:t xml:space="preserve">). </w:t>
      </w:r>
    </w:p>
    <w:p w:rsidR="00732844" w:rsidRDefault="00C152D7">
      <w:pPr>
        <w:spacing w:before="200"/>
        <w:jc w:val="both"/>
        <w:rPr>
          <w:rFonts w:ascii="Calibri" w:eastAsia="Calibri" w:hAnsi="Calibri" w:cs="Calibri"/>
          <w:b/>
          <w:highlight w:val="white"/>
        </w:rPr>
      </w:pPr>
      <w:r>
        <w:rPr>
          <w:rFonts w:ascii="Calibri" w:eastAsia="Calibri" w:hAnsi="Calibri" w:cs="Calibri"/>
          <w:b/>
          <w:highlight w:val="white"/>
        </w:rPr>
        <w:t xml:space="preserve">Se considerará una falta grave el no responder a la solicitud de requerimientos por parte de la DGVM (participar en capacitaciones y actividades relacionadas con el ciclo de proyectos financiados por este fondo y asistir a reuniones de seguimiento) y, en función a lo estipulado en estas bases, podría ser motivo del término anticipado del proyecto y la derivación del caso a la instancia correspondiente. </w:t>
      </w:r>
    </w:p>
    <w:p w:rsidR="00732844" w:rsidRDefault="00C152D7">
      <w:pPr>
        <w:spacing w:before="200"/>
        <w:jc w:val="both"/>
        <w:rPr>
          <w:rFonts w:ascii="Calibri" w:eastAsia="Calibri" w:hAnsi="Calibri" w:cs="Calibri"/>
          <w:highlight w:val="white"/>
        </w:rPr>
      </w:pPr>
      <w:r>
        <w:rPr>
          <w:rFonts w:ascii="Calibri" w:eastAsia="Calibri" w:hAnsi="Calibri" w:cs="Calibri"/>
          <w:highlight w:val="white"/>
        </w:rPr>
        <w:lastRenderedPageBreak/>
        <w:t>Aquellos proyectos que presenten una evaluación no satisfactoria en el primer informe de avance, deberán establecer un plan remedial de ejecución de las actividades para dar cumplimiento a los objetivos y medios de verificación.</w:t>
      </w:r>
    </w:p>
    <w:p w:rsidR="00732844" w:rsidRDefault="00C152D7">
      <w:pPr>
        <w:spacing w:before="200"/>
        <w:jc w:val="both"/>
        <w:rPr>
          <w:rFonts w:ascii="Calibri" w:eastAsia="Calibri" w:hAnsi="Calibri" w:cs="Calibri"/>
          <w:highlight w:val="white"/>
        </w:rPr>
      </w:pPr>
      <w:r>
        <w:rPr>
          <w:rFonts w:ascii="Calibri" w:eastAsia="Calibri" w:hAnsi="Calibri" w:cs="Calibri"/>
          <w:highlight w:val="white"/>
        </w:rPr>
        <w:t xml:space="preserve">Aquellos proyectos que no logren mostrar avances o evidencias significativas por motivos asociados a su propia gestión, </w:t>
      </w:r>
      <w:r>
        <w:rPr>
          <w:rFonts w:ascii="Calibri" w:eastAsia="Calibri" w:hAnsi="Calibri" w:cs="Calibri"/>
          <w:b/>
          <w:highlight w:val="white"/>
        </w:rPr>
        <w:t>serán considerados como no ejecutados</w:t>
      </w:r>
      <w:r>
        <w:rPr>
          <w:rFonts w:ascii="Calibri" w:eastAsia="Calibri" w:hAnsi="Calibri" w:cs="Calibri"/>
          <w:highlight w:val="white"/>
        </w:rPr>
        <w:t xml:space="preserve"> y se dará curso al cierre anticipado del proyecto. </w:t>
      </w:r>
    </w:p>
    <w:p w:rsidR="00732844" w:rsidRDefault="00C152D7">
      <w:pPr>
        <w:spacing w:before="200" w:after="200"/>
        <w:jc w:val="both"/>
        <w:rPr>
          <w:rFonts w:ascii="Calibri" w:eastAsia="Calibri" w:hAnsi="Calibri" w:cs="Calibri"/>
          <w:highlight w:val="white"/>
        </w:rPr>
      </w:pPr>
      <w:r>
        <w:rPr>
          <w:rFonts w:ascii="Calibri" w:eastAsia="Calibri" w:hAnsi="Calibri" w:cs="Calibri"/>
          <w:highlight w:val="white"/>
        </w:rPr>
        <w:t>El reporte de ejecución será calificado según los siguientes criterios:</w:t>
      </w:r>
    </w:p>
    <w:tbl>
      <w:tblPr>
        <w:tblStyle w:val="a9"/>
        <w:tblW w:w="894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2655"/>
        <w:gridCol w:w="6285"/>
      </w:tblGrid>
      <w:tr w:rsidR="00732844">
        <w:trPr>
          <w:trHeight w:val="447"/>
        </w:trPr>
        <w:tc>
          <w:tcPr>
            <w:tcW w:w="2655" w:type="dxa"/>
            <w:tcBorders>
              <w:top w:val="single" w:sz="6" w:space="0" w:color="000000"/>
              <w:left w:val="single" w:sz="6" w:space="0" w:color="000000"/>
              <w:bottom w:val="single" w:sz="6" w:space="0" w:color="000000"/>
              <w:right w:val="single" w:sz="6" w:space="0" w:color="000000"/>
            </w:tcBorders>
            <w:shd w:val="clear" w:color="auto" w:fill="D5DCE4"/>
            <w:tcMar>
              <w:top w:w="100" w:type="dxa"/>
              <w:left w:w="100" w:type="dxa"/>
              <w:bottom w:w="100" w:type="dxa"/>
              <w:right w:w="100" w:type="dxa"/>
            </w:tcMar>
            <w:vAlign w:val="center"/>
          </w:tcPr>
          <w:p w:rsidR="00732844" w:rsidRDefault="00C152D7">
            <w:pPr>
              <w:jc w:val="both"/>
              <w:rPr>
                <w:b/>
                <w:color w:val="202124"/>
                <w:sz w:val="18"/>
                <w:szCs w:val="18"/>
              </w:rPr>
            </w:pPr>
            <w:r>
              <w:rPr>
                <w:b/>
                <w:sz w:val="18"/>
                <w:szCs w:val="18"/>
              </w:rPr>
              <w:t>Escala</w:t>
            </w:r>
          </w:p>
        </w:tc>
        <w:tc>
          <w:tcPr>
            <w:tcW w:w="6285" w:type="dxa"/>
            <w:tcBorders>
              <w:top w:val="single" w:sz="6" w:space="0" w:color="000000"/>
              <w:left w:val="nil"/>
              <w:bottom w:val="single" w:sz="6" w:space="0" w:color="000000"/>
              <w:right w:val="single" w:sz="6" w:space="0" w:color="000000"/>
            </w:tcBorders>
            <w:shd w:val="clear" w:color="auto" w:fill="D5DCE4"/>
            <w:tcMar>
              <w:top w:w="100" w:type="dxa"/>
              <w:left w:w="100" w:type="dxa"/>
              <w:bottom w:w="100" w:type="dxa"/>
              <w:right w:w="100" w:type="dxa"/>
            </w:tcMar>
            <w:vAlign w:val="center"/>
          </w:tcPr>
          <w:p w:rsidR="00732844" w:rsidRDefault="00C152D7">
            <w:pPr>
              <w:jc w:val="both"/>
              <w:rPr>
                <w:b/>
                <w:color w:val="202124"/>
                <w:sz w:val="18"/>
                <w:szCs w:val="18"/>
              </w:rPr>
            </w:pPr>
            <w:r>
              <w:rPr>
                <w:b/>
                <w:sz w:val="18"/>
                <w:szCs w:val="18"/>
              </w:rPr>
              <w:t>Criterio</w:t>
            </w:r>
          </w:p>
        </w:tc>
      </w:tr>
      <w:tr w:rsidR="00732844">
        <w:trPr>
          <w:trHeight w:val="930"/>
        </w:trPr>
        <w:tc>
          <w:tcPr>
            <w:tcW w:w="26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32844" w:rsidRDefault="00C152D7">
            <w:pPr>
              <w:jc w:val="both"/>
              <w:rPr>
                <w:b/>
                <w:color w:val="202124"/>
                <w:sz w:val="18"/>
                <w:szCs w:val="18"/>
                <w:highlight w:val="white"/>
              </w:rPr>
            </w:pPr>
            <w:r>
              <w:rPr>
                <w:b/>
                <w:color w:val="202124"/>
                <w:sz w:val="18"/>
                <w:szCs w:val="18"/>
                <w:highlight w:val="white"/>
              </w:rPr>
              <w:t>Satisfactorio</w:t>
            </w:r>
          </w:p>
        </w:tc>
        <w:tc>
          <w:tcPr>
            <w:tcW w:w="6285" w:type="dxa"/>
            <w:tcBorders>
              <w:top w:val="nil"/>
              <w:left w:val="nil"/>
              <w:bottom w:val="single" w:sz="6" w:space="0" w:color="000000"/>
              <w:right w:val="single" w:sz="6" w:space="0" w:color="000000"/>
            </w:tcBorders>
            <w:tcMar>
              <w:top w:w="100" w:type="dxa"/>
              <w:left w:w="100" w:type="dxa"/>
              <w:bottom w:w="100" w:type="dxa"/>
              <w:right w:w="100" w:type="dxa"/>
            </w:tcMar>
          </w:tcPr>
          <w:p w:rsidR="00732844" w:rsidRDefault="00C152D7">
            <w:pPr>
              <w:jc w:val="both"/>
              <w:rPr>
                <w:color w:val="202124"/>
                <w:sz w:val="18"/>
                <w:szCs w:val="18"/>
                <w:highlight w:val="white"/>
              </w:rPr>
            </w:pPr>
            <w:r>
              <w:rPr>
                <w:color w:val="202124"/>
                <w:sz w:val="18"/>
                <w:szCs w:val="18"/>
                <w:highlight w:val="white"/>
              </w:rPr>
              <w:t>El informe cumple/aborda de manera satisfactoria todos los aspectos relevantes o presenta debilidades muy menores respecto del cumplimiento de los objetivos, resultados/productos y plazo de cumplimiento del proyecto en cuestión.</w:t>
            </w:r>
          </w:p>
        </w:tc>
      </w:tr>
      <w:tr w:rsidR="00732844">
        <w:trPr>
          <w:trHeight w:val="658"/>
        </w:trPr>
        <w:tc>
          <w:tcPr>
            <w:tcW w:w="26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32844" w:rsidRDefault="00C152D7">
            <w:pPr>
              <w:jc w:val="both"/>
              <w:rPr>
                <w:b/>
                <w:color w:val="202124"/>
                <w:sz w:val="18"/>
                <w:szCs w:val="18"/>
                <w:highlight w:val="white"/>
              </w:rPr>
            </w:pPr>
            <w:r>
              <w:rPr>
                <w:b/>
                <w:color w:val="202124"/>
                <w:sz w:val="18"/>
                <w:szCs w:val="18"/>
                <w:highlight w:val="white"/>
              </w:rPr>
              <w:t>Satisfactorio con Observaciones</w:t>
            </w:r>
          </w:p>
        </w:tc>
        <w:tc>
          <w:tcPr>
            <w:tcW w:w="6285" w:type="dxa"/>
            <w:tcBorders>
              <w:top w:val="nil"/>
              <w:left w:val="nil"/>
              <w:bottom w:val="single" w:sz="6" w:space="0" w:color="000000"/>
              <w:right w:val="single" w:sz="6" w:space="0" w:color="000000"/>
            </w:tcBorders>
            <w:tcMar>
              <w:top w:w="100" w:type="dxa"/>
              <w:left w:w="100" w:type="dxa"/>
              <w:bottom w:w="100" w:type="dxa"/>
              <w:right w:w="100" w:type="dxa"/>
            </w:tcMar>
          </w:tcPr>
          <w:p w:rsidR="00732844" w:rsidRDefault="00C152D7">
            <w:pPr>
              <w:jc w:val="both"/>
              <w:rPr>
                <w:color w:val="202124"/>
                <w:sz w:val="18"/>
                <w:szCs w:val="18"/>
                <w:highlight w:val="white"/>
              </w:rPr>
            </w:pPr>
            <w:r>
              <w:rPr>
                <w:color w:val="202124"/>
                <w:sz w:val="18"/>
                <w:szCs w:val="18"/>
                <w:highlight w:val="white"/>
              </w:rPr>
              <w:t>El informe cumple parcialmente con los aspectos solicitados en el proyecto y requerirá mejorar su formulación de los ítems observados (objetivos, resultados/productos y plazo de cumplimiento).</w:t>
            </w:r>
          </w:p>
        </w:tc>
      </w:tr>
      <w:tr w:rsidR="00732844">
        <w:trPr>
          <w:trHeight w:val="603"/>
        </w:trPr>
        <w:tc>
          <w:tcPr>
            <w:tcW w:w="26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32844" w:rsidRDefault="00C152D7">
            <w:pPr>
              <w:jc w:val="both"/>
              <w:rPr>
                <w:b/>
                <w:color w:val="202124"/>
                <w:sz w:val="18"/>
                <w:szCs w:val="18"/>
                <w:highlight w:val="white"/>
              </w:rPr>
            </w:pPr>
            <w:r>
              <w:rPr>
                <w:b/>
                <w:color w:val="202124"/>
                <w:sz w:val="18"/>
                <w:szCs w:val="18"/>
                <w:highlight w:val="white"/>
              </w:rPr>
              <w:t>No Satisfactorio</w:t>
            </w:r>
          </w:p>
        </w:tc>
        <w:tc>
          <w:tcPr>
            <w:tcW w:w="6285" w:type="dxa"/>
            <w:tcBorders>
              <w:top w:val="nil"/>
              <w:left w:val="nil"/>
              <w:bottom w:val="single" w:sz="6" w:space="0" w:color="000000"/>
              <w:right w:val="single" w:sz="6" w:space="0" w:color="000000"/>
            </w:tcBorders>
            <w:tcMar>
              <w:top w:w="100" w:type="dxa"/>
              <w:left w:w="100" w:type="dxa"/>
              <w:bottom w:w="100" w:type="dxa"/>
              <w:right w:w="100" w:type="dxa"/>
            </w:tcMar>
          </w:tcPr>
          <w:p w:rsidR="00732844" w:rsidRDefault="00C152D7">
            <w:pPr>
              <w:jc w:val="both"/>
              <w:rPr>
                <w:color w:val="202124"/>
                <w:sz w:val="18"/>
                <w:szCs w:val="18"/>
                <w:highlight w:val="white"/>
              </w:rPr>
            </w:pPr>
            <w:r>
              <w:rPr>
                <w:color w:val="202124"/>
                <w:sz w:val="18"/>
                <w:szCs w:val="18"/>
                <w:highlight w:val="white"/>
              </w:rPr>
              <w:t>El informe no cumple con los requisitos mínimos de ejecución y deberá deberán establecer un plan remedial de ejecución conforme a las observaciones identificadas.</w:t>
            </w:r>
          </w:p>
        </w:tc>
      </w:tr>
    </w:tbl>
    <w:p w:rsidR="00732844" w:rsidRDefault="00C152D7">
      <w:pPr>
        <w:spacing w:before="200"/>
        <w:jc w:val="both"/>
        <w:rPr>
          <w:rFonts w:ascii="Calibri" w:eastAsia="Calibri" w:hAnsi="Calibri" w:cs="Calibri"/>
        </w:rPr>
      </w:pPr>
      <w:r>
        <w:rPr>
          <w:rFonts w:ascii="Calibri" w:eastAsia="Calibri" w:hAnsi="Calibri" w:cs="Calibri"/>
        </w:rPr>
        <w:t xml:space="preserve">La cobertura periodística de las actividades que se realicen en el marco de los proyectos financiados por el Fondo Social CreaLab 2025 será de responsabilidad de la DGVM. Para ello, se contempla que los proyectos adjudicados cumplan con un mínimo de 3 hitos. </w:t>
      </w:r>
    </w:p>
    <w:p w:rsidR="00732844" w:rsidRDefault="00C152D7">
      <w:pPr>
        <w:spacing w:before="200"/>
        <w:jc w:val="both"/>
        <w:rPr>
          <w:rFonts w:ascii="Calibri" w:eastAsia="Calibri" w:hAnsi="Calibri" w:cs="Calibri"/>
        </w:rPr>
      </w:pPr>
      <w:r>
        <w:rPr>
          <w:rFonts w:ascii="Calibri" w:eastAsia="Calibri" w:hAnsi="Calibri" w:cs="Calibri"/>
        </w:rPr>
        <w:t xml:space="preserve">Toda actividad realizada en el marco de estos proyectos, deberá ser debidamente registrada en SINTE </w:t>
      </w:r>
      <w:proofErr w:type="spellStart"/>
      <w:r>
        <w:rPr>
          <w:rFonts w:ascii="Calibri" w:eastAsia="Calibri" w:hAnsi="Calibri" w:cs="Calibri"/>
        </w:rPr>
        <w:t>VcM</w:t>
      </w:r>
      <w:proofErr w:type="spellEnd"/>
      <w:r>
        <w:rPr>
          <w:rFonts w:ascii="Calibri" w:eastAsia="Calibri" w:hAnsi="Calibri" w:cs="Calibri"/>
        </w:rPr>
        <w:t xml:space="preserve">, cuando así corresponda y para ello, la Dirección dispone de apoyos a través de la Unidad de </w:t>
      </w:r>
      <w:r>
        <w:rPr>
          <w:rFonts w:ascii="Calibri" w:eastAsia="Calibri" w:hAnsi="Calibri" w:cs="Calibri"/>
          <w:highlight w:val="white"/>
        </w:rPr>
        <w:t>Aseguramiento de la Calidad para la Vinculación con el Medio</w:t>
      </w:r>
      <w:r>
        <w:rPr>
          <w:rFonts w:ascii="Calibri" w:eastAsia="Calibri" w:hAnsi="Calibri" w:cs="Calibri"/>
        </w:rPr>
        <w:t xml:space="preserve">. </w:t>
      </w:r>
    </w:p>
    <w:p w:rsidR="00732844" w:rsidRDefault="00C152D7">
      <w:pPr>
        <w:spacing w:before="240" w:after="240"/>
        <w:jc w:val="both"/>
        <w:rPr>
          <w:rFonts w:ascii="Calibri" w:eastAsia="Calibri" w:hAnsi="Calibri" w:cs="Calibri"/>
          <w:b/>
          <w:sz w:val="24"/>
          <w:szCs w:val="24"/>
        </w:rPr>
      </w:pPr>
      <w:r>
        <w:rPr>
          <w:rFonts w:ascii="Calibri" w:eastAsia="Calibri" w:hAnsi="Calibri" w:cs="Calibri"/>
          <w:b/>
          <w:sz w:val="24"/>
          <w:szCs w:val="24"/>
        </w:rPr>
        <w:t xml:space="preserve">Finalización de proyecto </w:t>
      </w:r>
    </w:p>
    <w:p w:rsidR="00732844" w:rsidRDefault="00C152D7">
      <w:pPr>
        <w:spacing w:before="200"/>
        <w:jc w:val="both"/>
        <w:rPr>
          <w:rFonts w:ascii="Calibri" w:eastAsia="Calibri" w:hAnsi="Calibri" w:cs="Calibri"/>
          <w:highlight w:val="white"/>
        </w:rPr>
      </w:pPr>
      <w:r>
        <w:rPr>
          <w:rFonts w:ascii="Calibri" w:eastAsia="Calibri" w:hAnsi="Calibri" w:cs="Calibri"/>
          <w:highlight w:val="white"/>
        </w:rPr>
        <w:t xml:space="preserve">Se considerará que el proyecto ha finalizado cuando: </w:t>
      </w:r>
    </w:p>
    <w:p w:rsidR="00732844" w:rsidRDefault="00C152D7">
      <w:pPr>
        <w:numPr>
          <w:ilvl w:val="0"/>
          <w:numId w:val="3"/>
        </w:numPr>
        <w:spacing w:before="240"/>
        <w:jc w:val="both"/>
        <w:rPr>
          <w:rFonts w:ascii="Calibri" w:eastAsia="Calibri" w:hAnsi="Calibri" w:cs="Calibri"/>
        </w:rPr>
      </w:pPr>
      <w:r>
        <w:rPr>
          <w:rFonts w:ascii="Calibri" w:eastAsia="Calibri" w:hAnsi="Calibri" w:cs="Calibri"/>
        </w:rPr>
        <w:t>Se hayan realizado todas las actividades contempladas o comprometidas en el cronograma según el fondo adjudicado (Consolidación o Inicial).</w:t>
      </w:r>
      <w:r>
        <w:rPr>
          <w:rFonts w:ascii="Calibri" w:eastAsia="Calibri" w:hAnsi="Calibri" w:cs="Calibri"/>
          <w:vertAlign w:val="superscript"/>
        </w:rPr>
        <w:footnoteReference w:id="25"/>
      </w:r>
    </w:p>
    <w:p w:rsidR="00732844" w:rsidRDefault="00C152D7">
      <w:pPr>
        <w:numPr>
          <w:ilvl w:val="0"/>
          <w:numId w:val="3"/>
        </w:numPr>
        <w:spacing w:before="240"/>
        <w:jc w:val="both"/>
        <w:rPr>
          <w:rFonts w:ascii="Calibri" w:eastAsia="Calibri" w:hAnsi="Calibri" w:cs="Calibri"/>
        </w:rPr>
      </w:pPr>
      <w:r>
        <w:rPr>
          <w:rFonts w:ascii="Calibri" w:eastAsia="Calibri" w:hAnsi="Calibri" w:cs="Calibri"/>
        </w:rPr>
        <w:t>Se hayan cumplido los objetivos propuestos.</w:t>
      </w:r>
    </w:p>
    <w:p w:rsidR="00732844" w:rsidRDefault="00C152D7">
      <w:pPr>
        <w:numPr>
          <w:ilvl w:val="0"/>
          <w:numId w:val="3"/>
        </w:numPr>
        <w:spacing w:before="240"/>
        <w:jc w:val="both"/>
        <w:rPr>
          <w:rFonts w:ascii="Calibri" w:eastAsia="Calibri" w:hAnsi="Calibri" w:cs="Calibri"/>
        </w:rPr>
      </w:pPr>
      <w:r>
        <w:rPr>
          <w:rFonts w:ascii="Calibri" w:eastAsia="Calibri" w:hAnsi="Calibri" w:cs="Calibri"/>
        </w:rPr>
        <w:t>Cierre del ítem presupuestario.</w:t>
      </w:r>
    </w:p>
    <w:p w:rsidR="00732844" w:rsidRDefault="00C152D7">
      <w:pPr>
        <w:numPr>
          <w:ilvl w:val="0"/>
          <w:numId w:val="3"/>
        </w:numPr>
        <w:spacing w:before="240"/>
        <w:jc w:val="both"/>
        <w:rPr>
          <w:rFonts w:ascii="Calibri" w:eastAsia="Calibri" w:hAnsi="Calibri" w:cs="Calibri"/>
        </w:rPr>
      </w:pPr>
      <w:r>
        <w:rPr>
          <w:rFonts w:ascii="Calibri" w:eastAsia="Calibri" w:hAnsi="Calibri" w:cs="Calibri"/>
        </w:rPr>
        <w:lastRenderedPageBreak/>
        <w:t xml:space="preserve">Se haya aprobado el informe final del proyecto por parte de la UVAT. </w:t>
      </w:r>
    </w:p>
    <w:p w:rsidR="00732844" w:rsidRDefault="00C152D7">
      <w:pPr>
        <w:numPr>
          <w:ilvl w:val="0"/>
          <w:numId w:val="3"/>
        </w:numPr>
        <w:spacing w:before="240"/>
        <w:jc w:val="both"/>
        <w:rPr>
          <w:rFonts w:ascii="Calibri" w:eastAsia="Calibri" w:hAnsi="Calibri" w:cs="Calibri"/>
        </w:rPr>
      </w:pPr>
      <w:r>
        <w:rPr>
          <w:rFonts w:ascii="Calibri" w:eastAsia="Calibri" w:hAnsi="Calibri" w:cs="Calibri"/>
        </w:rPr>
        <w:t xml:space="preserve">Se registre el proyecto y todas las actividades de vinculación con el medio realizadas en el contexto de la iniciativa en el Sistema de Registro de Acciones de Vinculación con el Medio SINTE VCM. El registro es un requisito obligatorio para la extensión de constancias emitidas por la DGVM. La emisión de certificados y/o constancias está condicionada a la aprobación de la Unidad de </w:t>
      </w:r>
      <w:r>
        <w:rPr>
          <w:rFonts w:ascii="Calibri" w:eastAsia="Calibri" w:hAnsi="Calibri" w:cs="Calibri"/>
          <w:highlight w:val="white"/>
        </w:rPr>
        <w:t>A</w:t>
      </w:r>
      <w:r>
        <w:rPr>
          <w:rFonts w:ascii="Calibri" w:eastAsia="Calibri" w:hAnsi="Calibri" w:cs="Calibri"/>
          <w:color w:val="222222"/>
          <w:highlight w:val="white"/>
        </w:rPr>
        <w:t>seguramiento de la Calidad para la Vinculación con el Medio</w:t>
      </w:r>
      <w:r>
        <w:rPr>
          <w:rFonts w:ascii="Calibri" w:eastAsia="Calibri" w:hAnsi="Calibri" w:cs="Calibri"/>
        </w:rPr>
        <w:t xml:space="preserve"> de la DGVM, según el protocolo publicado </w:t>
      </w:r>
      <w:proofErr w:type="gramStart"/>
      <w:r>
        <w:rPr>
          <w:rFonts w:ascii="Calibri" w:eastAsia="Calibri" w:hAnsi="Calibri" w:cs="Calibri"/>
        </w:rPr>
        <w:t>en  y</w:t>
      </w:r>
      <w:proofErr w:type="gramEnd"/>
      <w:r>
        <w:rPr>
          <w:rFonts w:ascii="Calibri" w:eastAsia="Calibri" w:hAnsi="Calibri" w:cs="Calibri"/>
        </w:rPr>
        <w:t xml:space="preserve"> su entrega demora 10 días hábiles. </w:t>
      </w:r>
    </w:p>
    <w:p w:rsidR="00732844" w:rsidRDefault="00C152D7">
      <w:pPr>
        <w:numPr>
          <w:ilvl w:val="0"/>
          <w:numId w:val="3"/>
        </w:numPr>
        <w:spacing w:before="240"/>
        <w:jc w:val="both"/>
        <w:rPr>
          <w:rFonts w:ascii="Calibri" w:eastAsia="Calibri" w:hAnsi="Calibri" w:cs="Calibri"/>
        </w:rPr>
      </w:pPr>
      <w:r>
        <w:rPr>
          <w:rFonts w:ascii="Calibri" w:eastAsia="Calibri" w:hAnsi="Calibri" w:cs="Calibri"/>
        </w:rPr>
        <w:t>Se haya entregado a la DGVM los resultados descritos en el formulario de postulación, Anexo N° 1.</w:t>
      </w:r>
    </w:p>
    <w:p w:rsidR="00732844" w:rsidRDefault="00C152D7">
      <w:pPr>
        <w:spacing w:before="200"/>
        <w:jc w:val="both"/>
        <w:rPr>
          <w:rFonts w:ascii="Calibri" w:eastAsia="Calibri" w:hAnsi="Calibri" w:cs="Calibri"/>
          <w:highlight w:val="white"/>
        </w:rPr>
      </w:pPr>
      <w:r>
        <w:rPr>
          <w:rFonts w:ascii="Calibri" w:eastAsia="Calibri" w:hAnsi="Calibri" w:cs="Calibri"/>
          <w:highlight w:val="white"/>
        </w:rPr>
        <w:t xml:space="preserve">En el caso de no cumplimiento de alguno de los compromisos adquiridos, que los resultados no sean conducentes a los objetivos esperados y/o si se constata que los recursos asignados al equipo no fueron utilizados para los fines que fueron requeridos o no se cumple con los objetivos de la convocatoria y definidos en el proyecto se dará término de inmediato al proyecto, </w:t>
      </w:r>
      <w:r>
        <w:rPr>
          <w:rFonts w:ascii="Calibri" w:eastAsia="Calibri" w:hAnsi="Calibri" w:cs="Calibri"/>
          <w:b/>
          <w:highlight w:val="white"/>
        </w:rPr>
        <w:t>sin opción de certificación</w:t>
      </w:r>
      <w:r>
        <w:rPr>
          <w:rFonts w:ascii="Calibri" w:eastAsia="Calibri" w:hAnsi="Calibri" w:cs="Calibri"/>
          <w:highlight w:val="white"/>
        </w:rPr>
        <w:t>.</w:t>
      </w:r>
    </w:p>
    <w:p w:rsidR="00732844" w:rsidRDefault="00C152D7">
      <w:pPr>
        <w:spacing w:before="200"/>
        <w:jc w:val="both"/>
        <w:rPr>
          <w:rFonts w:ascii="Calibri" w:eastAsia="Calibri" w:hAnsi="Calibri" w:cs="Calibri"/>
          <w:highlight w:val="white"/>
        </w:rPr>
      </w:pPr>
      <w:r>
        <w:rPr>
          <w:rFonts w:ascii="Calibri" w:eastAsia="Calibri" w:hAnsi="Calibri" w:cs="Calibri"/>
          <w:highlight w:val="white"/>
        </w:rPr>
        <w:t xml:space="preserve">En la actividad de cierre de los proyectos se entregará un reconocimiento al proyecto destacado de cada modalidad, considerando que en su ejecución responda a todas las solicitudes hechas por la DGVM y logre los objetivos propuestos siguiendo debidamente los plazos establecidos. </w:t>
      </w:r>
    </w:p>
    <w:p w:rsidR="00732844" w:rsidRDefault="00C152D7">
      <w:pPr>
        <w:numPr>
          <w:ilvl w:val="0"/>
          <w:numId w:val="9"/>
        </w:numPr>
        <w:spacing w:before="240" w:after="240"/>
        <w:jc w:val="both"/>
        <w:rPr>
          <w:rFonts w:ascii="Calibri" w:eastAsia="Calibri" w:hAnsi="Calibri" w:cs="Calibri"/>
          <w:b/>
          <w:color w:val="202124"/>
          <w:sz w:val="24"/>
          <w:szCs w:val="24"/>
          <w:highlight w:val="white"/>
        </w:rPr>
      </w:pPr>
      <w:r>
        <w:rPr>
          <w:rFonts w:ascii="Calibri" w:eastAsia="Calibri" w:hAnsi="Calibri" w:cs="Calibri"/>
          <w:b/>
          <w:color w:val="202124"/>
          <w:sz w:val="24"/>
          <w:szCs w:val="24"/>
          <w:highlight w:val="white"/>
        </w:rPr>
        <w:t>Comité de evaluación y admisibilidad:</w:t>
      </w:r>
    </w:p>
    <w:p w:rsidR="00732844" w:rsidRDefault="00C152D7">
      <w:pPr>
        <w:spacing w:before="240" w:after="240"/>
        <w:jc w:val="both"/>
        <w:rPr>
          <w:rFonts w:ascii="Calibri" w:eastAsia="Calibri" w:hAnsi="Calibri" w:cs="Calibri"/>
        </w:rPr>
      </w:pPr>
      <w:r>
        <w:rPr>
          <w:rFonts w:ascii="Calibri" w:eastAsia="Calibri" w:hAnsi="Calibri" w:cs="Calibri"/>
        </w:rPr>
        <w:t xml:space="preserve">La Dirección General de Vinculación con el Medio, financiará un máximo de </w:t>
      </w:r>
      <w:r>
        <w:rPr>
          <w:rFonts w:ascii="Calibri" w:eastAsia="Calibri" w:hAnsi="Calibri" w:cs="Calibri"/>
          <w:b/>
        </w:rPr>
        <w:t xml:space="preserve">$64.600.000.- </w:t>
      </w:r>
      <w:r>
        <w:rPr>
          <w:rFonts w:ascii="Calibri" w:eastAsia="Calibri" w:hAnsi="Calibri" w:cs="Calibri"/>
        </w:rPr>
        <w:t>(sesenta y cuatro millones seiscientos mil pesos IVA incluido), resultando ganadores los puntajes más altos según determine la rúbrica de evaluación (Anexo Nº6) y la comisión evaluadora del presente concurso. Cabe considerar, que el puntaje mínimo admisible, de acuerdo a la rúbrica de evaluación, será del 70%. Todos los proyectos que cumplan con los requisitos indispensables serán evaluados por una sola comisión técnica, que estará a cargo de evaluar admisibilidad.</w:t>
      </w:r>
    </w:p>
    <w:p w:rsidR="00732844" w:rsidRDefault="00C152D7">
      <w:pPr>
        <w:spacing w:before="240" w:after="240"/>
        <w:jc w:val="both"/>
        <w:rPr>
          <w:rFonts w:ascii="Calibri" w:eastAsia="Calibri" w:hAnsi="Calibri" w:cs="Calibri"/>
        </w:rPr>
      </w:pPr>
      <w:r>
        <w:rPr>
          <w:rFonts w:ascii="Calibri" w:eastAsia="Calibri" w:hAnsi="Calibri" w:cs="Calibri"/>
        </w:rPr>
        <w:t>La comisión evaluadora estará compuesta por:</w:t>
      </w:r>
    </w:p>
    <w:p w:rsidR="00732844" w:rsidRDefault="00C152D7">
      <w:pPr>
        <w:numPr>
          <w:ilvl w:val="0"/>
          <w:numId w:val="4"/>
        </w:numPr>
        <w:pBdr>
          <w:top w:val="nil"/>
          <w:left w:val="nil"/>
          <w:bottom w:val="nil"/>
          <w:right w:val="nil"/>
          <w:between w:val="nil"/>
        </w:pBdr>
        <w:spacing w:before="240"/>
        <w:jc w:val="both"/>
        <w:rPr>
          <w:rFonts w:ascii="Calibri" w:eastAsia="Calibri" w:hAnsi="Calibri" w:cs="Calibri"/>
          <w:color w:val="000000"/>
        </w:rPr>
      </w:pPr>
      <w:r>
        <w:rPr>
          <w:rFonts w:ascii="Calibri" w:eastAsia="Calibri" w:hAnsi="Calibri" w:cs="Calibri"/>
          <w:color w:val="000000"/>
        </w:rPr>
        <w:t>Director/a General de Vinculación con el Medio (o quien ella designe).</w:t>
      </w:r>
    </w:p>
    <w:p w:rsidR="00732844" w:rsidRDefault="00C152D7">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Director/a General invitado y pertinente al área (Pregrado, Investigación u otro)</w:t>
      </w:r>
    </w:p>
    <w:p w:rsidR="00732844" w:rsidRDefault="00C152D7">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Integrante de la </w:t>
      </w:r>
      <w:r>
        <w:rPr>
          <w:rFonts w:ascii="Calibri" w:eastAsia="Calibri" w:hAnsi="Calibri" w:cs="Calibri"/>
        </w:rPr>
        <w:t>Unidad de Vinculación Académica y Desarrollo Territorial.</w:t>
      </w:r>
    </w:p>
    <w:p w:rsidR="00732844" w:rsidRDefault="00C152D7">
      <w:pPr>
        <w:numPr>
          <w:ilvl w:val="0"/>
          <w:numId w:val="4"/>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Asesoría metodológica. </w:t>
      </w:r>
    </w:p>
    <w:p w:rsidR="00732844" w:rsidRDefault="00C152D7">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Actor territorial relevante</w:t>
      </w:r>
      <w:r>
        <w:rPr>
          <w:rFonts w:ascii="Calibri" w:eastAsia="Calibri" w:hAnsi="Calibri" w:cs="Calibri"/>
          <w:color w:val="000000"/>
        </w:rPr>
        <w:t>.</w:t>
      </w:r>
    </w:p>
    <w:p w:rsidR="00732844" w:rsidRDefault="00C152D7">
      <w:pPr>
        <w:numPr>
          <w:ilvl w:val="0"/>
          <w:numId w:val="4"/>
        </w:num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rPr>
        <w:t>Oficia como Ministro de Fe, la Secretaría Ejecutiva de la Dirección General de Vinculación con el Medio.</w:t>
      </w:r>
    </w:p>
    <w:p w:rsidR="00732844" w:rsidRDefault="00C152D7">
      <w:pPr>
        <w:spacing w:before="240" w:after="240"/>
        <w:jc w:val="both"/>
        <w:rPr>
          <w:rFonts w:ascii="Calibri" w:eastAsia="Calibri" w:hAnsi="Calibri" w:cs="Calibri"/>
          <w:highlight w:val="white"/>
        </w:rPr>
      </w:pPr>
      <w:r>
        <w:rPr>
          <w:rFonts w:ascii="Calibri" w:eastAsia="Calibri" w:hAnsi="Calibri" w:cs="Calibri"/>
        </w:rPr>
        <w:t xml:space="preserve">Para formalizar la postulación, cada proyecto deberá enviar su propuesta según ficha de postulación (Anexo N°1) y anexos, ajustándose a los ítems antes descritos. Los proyectos que resulten admisibles, deberán presentarse a una entrevista (académicos/as y actor territorial relevante </w:t>
      </w:r>
      <w:r>
        <w:rPr>
          <w:rFonts w:ascii="Calibri" w:eastAsia="Calibri" w:hAnsi="Calibri" w:cs="Calibri"/>
          <w:highlight w:val="white"/>
        </w:rPr>
        <w:t xml:space="preserve">que </w:t>
      </w:r>
      <w:r>
        <w:rPr>
          <w:rFonts w:ascii="Calibri" w:eastAsia="Calibri" w:hAnsi="Calibri" w:cs="Calibri"/>
          <w:highlight w:val="white"/>
        </w:rPr>
        <w:lastRenderedPageBreak/>
        <w:t xml:space="preserve">forman parte del proyecto) ante la Comisión evaluadora. La Comisión Evaluadora será la encargada de evaluar admisibilidad y aplicar la rúbrica. </w:t>
      </w:r>
    </w:p>
    <w:p w:rsidR="00732844" w:rsidRDefault="00C152D7">
      <w:pPr>
        <w:spacing w:before="240" w:after="240"/>
        <w:jc w:val="both"/>
        <w:rPr>
          <w:rFonts w:ascii="Calibri" w:eastAsia="Calibri" w:hAnsi="Calibri" w:cs="Calibri"/>
          <w:b/>
          <w:highlight w:val="white"/>
        </w:rPr>
      </w:pPr>
      <w:r>
        <w:rPr>
          <w:rFonts w:ascii="Calibri" w:eastAsia="Calibri" w:hAnsi="Calibri" w:cs="Calibri"/>
          <w:b/>
          <w:highlight w:val="white"/>
        </w:rPr>
        <w:t xml:space="preserve">Toda la documentación solicitada, debe ser enviada vía correo electrónico a la dirección </w:t>
      </w:r>
      <w:hyperlink r:id="rId16">
        <w:r>
          <w:rPr>
            <w:rFonts w:ascii="Calibri" w:eastAsia="Calibri" w:hAnsi="Calibri" w:cs="Calibri"/>
            <w:b/>
            <w:color w:val="0000FF"/>
            <w:highlight w:val="white"/>
            <w:u w:val="single"/>
          </w:rPr>
          <w:t>unidadinnovacionsocial@upla.cl</w:t>
        </w:r>
      </w:hyperlink>
      <w:r>
        <w:rPr>
          <w:rFonts w:ascii="Calibri" w:eastAsia="Calibri" w:hAnsi="Calibri" w:cs="Calibri"/>
          <w:b/>
          <w:highlight w:val="white"/>
        </w:rPr>
        <w:t xml:space="preserve"> </w:t>
      </w:r>
    </w:p>
    <w:p w:rsidR="00732844" w:rsidRDefault="00C152D7">
      <w:pPr>
        <w:spacing w:before="240" w:after="240"/>
        <w:jc w:val="both"/>
        <w:rPr>
          <w:rFonts w:ascii="Calibri" w:eastAsia="Calibri" w:hAnsi="Calibri" w:cs="Calibri"/>
        </w:rPr>
      </w:pPr>
      <w:r>
        <w:rPr>
          <w:rFonts w:ascii="Calibri" w:eastAsia="Calibri" w:hAnsi="Calibri" w:cs="Calibri"/>
          <w:highlight w:val="white"/>
        </w:rPr>
        <w:t xml:space="preserve">La evaluación de los proyectos considerará dos etapas: Una primera correspondiente al 60% del total del puntaje. Esta etapa comprende la revisión de la documentación enviada de los proyectos admisibles (Formulario de postulación y anexos). </w:t>
      </w:r>
      <w:r>
        <w:rPr>
          <w:rFonts w:ascii="Calibri" w:eastAsia="Calibri" w:hAnsi="Calibri" w:cs="Calibri"/>
        </w:rPr>
        <w:t>En esta etapa, de ser necesario, la comisión podría solicitar información adicional a las y los postulantes.</w:t>
      </w:r>
      <w:r>
        <w:rPr>
          <w:rFonts w:ascii="Calibri" w:eastAsia="Calibri" w:hAnsi="Calibri" w:cs="Calibri"/>
          <w:highlight w:val="white"/>
        </w:rPr>
        <w:t xml:space="preserve"> Una segunda etapa, referida a la entrevista, instancia que pondera el 40% restante. Para efectos de la evaluación, se utilizarán los criterios contenidos en el</w:t>
      </w:r>
      <w:r>
        <w:rPr>
          <w:rFonts w:ascii="Calibri" w:eastAsia="Calibri" w:hAnsi="Calibri" w:cs="Calibri"/>
          <w:color w:val="FF0000"/>
          <w:highlight w:val="white"/>
        </w:rPr>
        <w:t xml:space="preserve"> </w:t>
      </w:r>
      <w:r>
        <w:rPr>
          <w:rFonts w:ascii="Calibri" w:eastAsia="Calibri" w:hAnsi="Calibri" w:cs="Calibri"/>
        </w:rPr>
        <w:t xml:space="preserve">Anexo N°6 “Rúbrica Fondo Social CreaLab 2024”. </w:t>
      </w:r>
    </w:p>
    <w:p w:rsidR="00732844" w:rsidRDefault="00C152D7">
      <w:pPr>
        <w:spacing w:before="240" w:after="240"/>
        <w:jc w:val="both"/>
      </w:pPr>
      <w:r>
        <w:rPr>
          <w:rFonts w:ascii="Calibri" w:eastAsia="Calibri" w:hAnsi="Calibri" w:cs="Calibri"/>
          <w:highlight w:val="white"/>
        </w:rPr>
        <w:t xml:space="preserve">Tendrán una puntuación </w:t>
      </w:r>
      <w:r>
        <w:rPr>
          <w:rFonts w:ascii="Calibri" w:eastAsia="Calibri" w:hAnsi="Calibri" w:cs="Calibri"/>
        </w:rPr>
        <w:t xml:space="preserve">adicional (Anexo N°6), </w:t>
      </w:r>
      <w:r>
        <w:rPr>
          <w:rFonts w:ascii="Calibri" w:eastAsia="Calibri" w:hAnsi="Calibri" w:cs="Calibri"/>
          <w:highlight w:val="white"/>
        </w:rPr>
        <w:t xml:space="preserve">aquellos proyectos que consideren: la participación de egresados/as, proyectos que presenten el enfoque de derechos humanos como eje transversal de la propuesta (enfoque de género, inclusión, ciudadanía, calidad de vida, protección y cuidado de la naturaleza, entre otros) </w:t>
      </w:r>
      <w:r>
        <w:t xml:space="preserve">     </w:t>
      </w:r>
    </w:p>
    <w:p w:rsidR="00732844" w:rsidRDefault="00C152D7">
      <w:pPr>
        <w:spacing w:before="240" w:after="240"/>
        <w:jc w:val="both"/>
        <w:rPr>
          <w:rFonts w:ascii="Calibri" w:eastAsia="Calibri" w:hAnsi="Calibri" w:cs="Calibri"/>
          <w:highlight w:val="white"/>
        </w:rPr>
      </w:pPr>
      <w:r>
        <w:rPr>
          <w:rFonts w:ascii="Calibri" w:eastAsia="Calibri" w:hAnsi="Calibri" w:cs="Calibri"/>
          <w:highlight w:val="white"/>
        </w:rPr>
        <w:t>La DGVM entregará una retroalimentación a cada uno de los proyectos que no adjudicaron en la convocatoria.</w:t>
      </w:r>
    </w:p>
    <w:p w:rsidR="00732844" w:rsidRDefault="00C152D7">
      <w:pPr>
        <w:numPr>
          <w:ilvl w:val="0"/>
          <w:numId w:val="9"/>
        </w:numPr>
        <w:spacing w:before="240" w:after="240"/>
        <w:jc w:val="both"/>
        <w:rPr>
          <w:rFonts w:ascii="Calibri" w:eastAsia="Calibri" w:hAnsi="Calibri" w:cs="Calibri"/>
          <w:b/>
          <w:color w:val="202124"/>
          <w:sz w:val="24"/>
          <w:szCs w:val="24"/>
          <w:highlight w:val="white"/>
        </w:rPr>
      </w:pPr>
      <w:r>
        <w:rPr>
          <w:rFonts w:ascii="Calibri" w:eastAsia="Calibri" w:hAnsi="Calibri" w:cs="Calibri"/>
          <w:b/>
          <w:color w:val="202124"/>
          <w:sz w:val="24"/>
          <w:szCs w:val="24"/>
          <w:highlight w:val="white"/>
        </w:rPr>
        <w:t>Responsabilidades de la adjudicación y compromisos de los/as responsables del proyecto:</w:t>
      </w:r>
    </w:p>
    <w:p w:rsidR="00732844" w:rsidRDefault="00C152D7">
      <w:pPr>
        <w:spacing w:before="240" w:after="240"/>
        <w:jc w:val="both"/>
        <w:rPr>
          <w:rFonts w:ascii="Calibri" w:eastAsia="Calibri" w:hAnsi="Calibri" w:cs="Calibri"/>
          <w:highlight w:val="white"/>
        </w:rPr>
      </w:pPr>
      <w:r>
        <w:rPr>
          <w:rFonts w:ascii="Calibri" w:eastAsia="Calibri" w:hAnsi="Calibri" w:cs="Calibri"/>
          <w:highlight w:val="white"/>
        </w:rPr>
        <w:t xml:space="preserve">El equipo ejecutor debe responder a los siguientes compromisos: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El equipo de proyecto deberá presentar los resultados de la experiencia en la actividad final organizada por la DGVM (Hito de finalización del Fondo Social CreaLab 2024) a modo de visibilizar el trabajo desarrollado y logros, considerando en esta, la participación de todos los actores involucrados en el proceso.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En el caso exclusivo del Fondo Consolidado, el o la responsable de proyecto, deberá realizar las gestiones necesarias para solicitar la elaboración de una resolución de facultad que formalice la creación, en caso de no existir, de un programa, observatorio u otro espacio, producto de la iniciativa financiada.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En el caso exclusivo del </w:t>
      </w:r>
      <w:r>
        <w:rPr>
          <w:rFonts w:ascii="Calibri" w:eastAsia="Calibri" w:hAnsi="Calibri" w:cs="Calibri"/>
          <w:b/>
        </w:rPr>
        <w:t>Fondo Consolidado</w:t>
      </w:r>
      <w:r>
        <w:rPr>
          <w:rFonts w:ascii="Calibri" w:eastAsia="Calibri" w:hAnsi="Calibri" w:cs="Calibri"/>
        </w:rPr>
        <w:t xml:space="preserve">, debe generar una publicación en revista indexada en </w:t>
      </w:r>
      <w:proofErr w:type="spellStart"/>
      <w:r>
        <w:rPr>
          <w:rFonts w:ascii="Calibri" w:eastAsia="Calibri" w:hAnsi="Calibri" w:cs="Calibri"/>
        </w:rPr>
        <w:t>Scielo</w:t>
      </w:r>
      <w:proofErr w:type="spellEnd"/>
      <w:r>
        <w:rPr>
          <w:rFonts w:ascii="Calibri" w:eastAsia="Calibri" w:hAnsi="Calibri" w:cs="Calibri"/>
        </w:rPr>
        <w:t xml:space="preserve"> Chile, </w:t>
      </w:r>
      <w:proofErr w:type="spellStart"/>
      <w:r>
        <w:rPr>
          <w:rFonts w:ascii="Calibri" w:eastAsia="Calibri" w:hAnsi="Calibri" w:cs="Calibri"/>
        </w:rPr>
        <w:t>Scopus</w:t>
      </w:r>
      <w:proofErr w:type="spellEnd"/>
      <w:r>
        <w:rPr>
          <w:rFonts w:ascii="Calibri" w:eastAsia="Calibri" w:hAnsi="Calibri" w:cs="Calibri"/>
        </w:rPr>
        <w:t xml:space="preserve"> o </w:t>
      </w:r>
      <w:proofErr w:type="spellStart"/>
      <w:r>
        <w:rPr>
          <w:rFonts w:ascii="Calibri" w:eastAsia="Calibri" w:hAnsi="Calibri" w:cs="Calibri"/>
        </w:rPr>
        <w:t>Wos</w:t>
      </w:r>
      <w:proofErr w:type="spellEnd"/>
      <w:r>
        <w:rPr>
          <w:rFonts w:ascii="Calibri" w:eastAsia="Calibri" w:hAnsi="Calibri" w:cs="Calibri"/>
        </w:rPr>
        <w:t xml:space="preserve">, libro o capítulo de libro con comité editorial. La temática puede contener la sistematización de la experiencia, contribuciones, hallazgos o resultados. En el caso del </w:t>
      </w:r>
      <w:r>
        <w:rPr>
          <w:rFonts w:ascii="Calibri" w:eastAsia="Calibri" w:hAnsi="Calibri" w:cs="Calibri"/>
          <w:b/>
        </w:rPr>
        <w:t>Fondo Inicial</w:t>
      </w:r>
      <w:r>
        <w:rPr>
          <w:rFonts w:ascii="Calibri" w:eastAsia="Calibri" w:hAnsi="Calibri" w:cs="Calibri"/>
        </w:rPr>
        <w:t>, se deberá generar una publicación en revista científica indexada, sin importar el tipo de ésta, libro o capítulo de libro con comité editorial.</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lastRenderedPageBreak/>
        <w:t xml:space="preserve">El o la responsable de proyecto deberá enviar reportes de avances (al 5° mes) dando cuenta del estado de avance de las actividades comprometidas en el cronograma entregado (Anexo 2) en el proceso de postulación (50% del Plan de Trabajo ejecutado) y el cumplimiento de labores del equipo, Anexo 1, para el seguimiento de actividades.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El o la responsable y su equipo de proyecto deberán participar en </w:t>
      </w:r>
      <w:r>
        <w:rPr>
          <w:rFonts w:ascii="Calibri" w:eastAsia="Calibri" w:hAnsi="Calibri" w:cs="Calibri"/>
          <w:b/>
        </w:rPr>
        <w:t>todas las actividades y talleres relacionados con los proyectos, que organice la DGVM durante el proceso</w:t>
      </w:r>
      <w:r>
        <w:rPr>
          <w:rFonts w:ascii="Calibri" w:eastAsia="Calibri" w:hAnsi="Calibri" w:cs="Calibri"/>
        </w:rPr>
        <w:t xml:space="preserve">.  Para la participación en las actividades de cierre, el equipo deberá cumplir con el 100% de su planificación.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El o la responsable de proyecto, debe presentar una síntesis de la ejecución del proyecto en el que debe considerar la descripción de la ejecución y principales aprendizajes del proyecto, dando cuenta de los aportes que éste generó en los procesos formativos de los estudiantes para la mejora continua de las asignaturas declaradas y del perfil de egreso (contribución interna). En el caso de los resultados, se debe dar cuenta del modo en que la implementación de la solución </w:t>
      </w:r>
      <w:proofErr w:type="spellStart"/>
      <w:r>
        <w:rPr>
          <w:rFonts w:ascii="Calibri" w:eastAsia="Calibri" w:hAnsi="Calibri" w:cs="Calibri"/>
        </w:rPr>
        <w:t>co</w:t>
      </w:r>
      <w:proofErr w:type="spellEnd"/>
      <w:r>
        <w:rPr>
          <w:rFonts w:ascii="Calibri" w:eastAsia="Calibri" w:hAnsi="Calibri" w:cs="Calibri"/>
        </w:rPr>
        <w:t>-construida o el abordaje de la problemática</w:t>
      </w:r>
      <w:r>
        <w:rPr>
          <w:rFonts w:ascii="Calibri" w:eastAsia="Calibri" w:hAnsi="Calibri" w:cs="Calibri"/>
          <w:color w:val="7030A0"/>
        </w:rPr>
        <w:t xml:space="preserve"> </w:t>
      </w:r>
      <w:r>
        <w:rPr>
          <w:rFonts w:ascii="Calibri" w:eastAsia="Calibri" w:hAnsi="Calibri" w:cs="Calibri"/>
        </w:rPr>
        <w:t>generó repercusiones en el territorio y en la organización involucrada (contribución externa) dejando explícita la sostenibilidad en el tiempo. Lo anterior debe ser enviado 5 días hábiles una vez solicitado por la UVAT, en el formato entregado por la DGVM, quién enviará dicho documento junto a la evaluación final a las unidades académicas pertinentes.</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El o la responsable deberá aplicar un instrumento para conocer la contribución de su iniciativa tanto en los procesos formativos de los y las estudiantes involucradas, como también en el territorio y actor territorial relevante involucrado. En este sentido, es obligatorio presentar los antecedentes de la iniciativa frente al Comité Ético Científico de la universidad previo a su ejecución.</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Con el objetivo de contar con el respaldo de acciones propias del proyecto, el/la responsable, deberá enviar la recopilación de medios de verificación (listas de asistencia, actas, respaldos fotográficos, cápsulas de video) al término de cada actividad mediante los formatos disponibles para estos efectos. El acceso a todas estas evidencias deberá ser compartida tanto en el informe de avance como en el informe final.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El equipo deberá identificar a una persona responsable de registrar oportunamente las actividades asociadas al proyecto en el SINTE </w:t>
      </w:r>
      <w:proofErr w:type="spellStart"/>
      <w:r>
        <w:rPr>
          <w:rFonts w:ascii="Calibri" w:eastAsia="Calibri" w:hAnsi="Calibri" w:cs="Calibri"/>
        </w:rPr>
        <w:t>VcM</w:t>
      </w:r>
      <w:proofErr w:type="spellEnd"/>
      <w:r>
        <w:rPr>
          <w:rFonts w:ascii="Calibri" w:eastAsia="Calibri" w:hAnsi="Calibri" w:cs="Calibri"/>
        </w:rPr>
        <w:t xml:space="preserve"> de la Dirección General de Vinculación con el Medio, que sean de extensión universitaria y/o vinculación académica (acciones bidireccionales) indicando el convenio involucrado en la iniciativa (en el caso de que exista) y código de financiamiento. En este sentido, reuniones o encuentros de coordinación no deben ser registradas.</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El o la responsable deberá enviar al equipo de la </w:t>
      </w:r>
      <w:r>
        <w:rPr>
          <w:rFonts w:ascii="Calibri" w:eastAsia="Calibri" w:hAnsi="Calibri" w:cs="Calibri"/>
          <w:highlight w:val="white"/>
        </w:rPr>
        <w:t>Unidad de Vinculación Académica y Desarrollo Territorial</w:t>
      </w:r>
      <w:r>
        <w:rPr>
          <w:rFonts w:ascii="Calibri" w:eastAsia="Calibri" w:hAnsi="Calibri" w:cs="Calibri"/>
        </w:rPr>
        <w:t xml:space="preserve">, una vez finalizado el proyecto, los resultados y/o productos obtenidos, tales como manuales, libros, entre otras, para su registro institucional.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lastRenderedPageBreak/>
        <w:t xml:space="preserve">Los proyectos que generen publicación o presentación académica asociada a la ejecución del proyecto, deberán explicitar que éste fue financiado por el Ministerio de Educación a través del proyecto que financia este fondo concursable (CD UPA 2395).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Los proyectos que generen libros a partir de la experiencia y que sean financiados por este fondo, deberán cumplir con el Reglamento vigente de la Editorial </w:t>
      </w:r>
      <w:proofErr w:type="spellStart"/>
      <w:r>
        <w:rPr>
          <w:rFonts w:ascii="Calibri" w:eastAsia="Calibri" w:hAnsi="Calibri" w:cs="Calibri"/>
        </w:rPr>
        <w:t>Puntángeles</w:t>
      </w:r>
      <w:proofErr w:type="spellEnd"/>
      <w:r>
        <w:rPr>
          <w:rFonts w:ascii="Calibri" w:eastAsia="Calibri" w:hAnsi="Calibri" w:cs="Calibri"/>
        </w:rPr>
        <w:t xml:space="preserve">. </w:t>
      </w:r>
    </w:p>
    <w:p w:rsidR="00732844" w:rsidRDefault="00C152D7">
      <w:pPr>
        <w:numPr>
          <w:ilvl w:val="0"/>
          <w:numId w:val="7"/>
        </w:numPr>
        <w:spacing w:before="240"/>
        <w:jc w:val="both"/>
        <w:rPr>
          <w:rFonts w:ascii="Calibri" w:eastAsia="Calibri" w:hAnsi="Calibri" w:cs="Calibri"/>
        </w:rPr>
      </w:pPr>
      <w:r>
        <w:rPr>
          <w:rFonts w:ascii="Calibri" w:eastAsia="Calibri" w:hAnsi="Calibri" w:cs="Calibri"/>
        </w:rPr>
        <w:t xml:space="preserve">Los equipos de proyectos deberán comprometer al menos una actividad de extensión abierta a la comunidad, donde se </w:t>
      </w:r>
      <w:proofErr w:type="spellStart"/>
      <w:r>
        <w:rPr>
          <w:rFonts w:ascii="Calibri" w:eastAsia="Calibri" w:hAnsi="Calibri" w:cs="Calibri"/>
        </w:rPr>
        <w:t>de</w:t>
      </w:r>
      <w:proofErr w:type="spellEnd"/>
      <w:r>
        <w:rPr>
          <w:rFonts w:ascii="Calibri" w:eastAsia="Calibri" w:hAnsi="Calibri" w:cs="Calibri"/>
        </w:rPr>
        <w:t xml:space="preserve"> cuenta de la temática de las iniciativas y/o aprendizajes/resultados del proceso. </w:t>
      </w:r>
    </w:p>
    <w:p w:rsidR="00732844" w:rsidRDefault="00C152D7">
      <w:pPr>
        <w:numPr>
          <w:ilvl w:val="0"/>
          <w:numId w:val="7"/>
        </w:numPr>
        <w:spacing w:before="240" w:after="240"/>
        <w:jc w:val="both"/>
        <w:rPr>
          <w:rFonts w:ascii="Calibri" w:eastAsia="Calibri" w:hAnsi="Calibri" w:cs="Calibri"/>
        </w:rPr>
      </w:pPr>
      <w:r>
        <w:rPr>
          <w:rFonts w:ascii="Calibri" w:eastAsia="Calibri" w:hAnsi="Calibri" w:cs="Calibri"/>
          <w:b/>
        </w:rPr>
        <w:t>Se considerará una falta grave el no responder a los requerimientos formulados por parte de la DGVM y a los compromisos adquiridos</w:t>
      </w:r>
      <w:r>
        <w:rPr>
          <w:rFonts w:ascii="Calibri" w:eastAsia="Calibri" w:hAnsi="Calibri" w:cs="Calibri"/>
        </w:rPr>
        <w:t xml:space="preserve"> y, de acuerdo a lo estipulado en estas bases, será motivo de cancelar la adjudicación de recursos.</w:t>
      </w:r>
    </w:p>
    <w:p w:rsidR="00732844" w:rsidRDefault="00C152D7">
      <w:pPr>
        <w:numPr>
          <w:ilvl w:val="0"/>
          <w:numId w:val="7"/>
        </w:numPr>
        <w:spacing w:before="240" w:after="240"/>
        <w:jc w:val="both"/>
        <w:rPr>
          <w:rFonts w:ascii="Calibri" w:eastAsia="Calibri" w:hAnsi="Calibri" w:cs="Calibri"/>
        </w:rPr>
      </w:pPr>
      <w:r>
        <w:rPr>
          <w:rFonts w:ascii="Calibri" w:eastAsia="Calibri" w:hAnsi="Calibri" w:cs="Calibri"/>
        </w:rPr>
        <w:t>Todos los proyectos, tanto del fondo de consolidación como del fondo inicial, deben generar una planificación de hitos comunicacionales que permitan dar a conocer, tanto a la comunidad universitaria como a la comunidad externa, los eventos más relevantes de las iniciativas, la que deberá ser compartida oportunamente para poder dar cobertura.</w:t>
      </w:r>
    </w:p>
    <w:p w:rsidR="00732844" w:rsidRDefault="00C152D7">
      <w:pPr>
        <w:numPr>
          <w:ilvl w:val="0"/>
          <w:numId w:val="7"/>
        </w:numPr>
        <w:spacing w:before="240" w:after="240"/>
        <w:jc w:val="both"/>
        <w:rPr>
          <w:rFonts w:ascii="Calibri" w:eastAsia="Calibri" w:hAnsi="Calibri" w:cs="Calibri"/>
        </w:rPr>
      </w:pPr>
      <w:r>
        <w:rPr>
          <w:rFonts w:ascii="Calibri" w:eastAsia="Calibri" w:hAnsi="Calibri" w:cs="Calibri"/>
          <w:highlight w:val="white"/>
        </w:rPr>
        <w:t>En caso de no cumplir con los criterios establecidos, se pondrá término de inmediato al proyecto.</w:t>
      </w:r>
    </w:p>
    <w:p w:rsidR="00732844" w:rsidRDefault="00732844"/>
    <w:sectPr w:rsidR="00732844">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9BF" w:rsidRDefault="001959BF">
      <w:pPr>
        <w:spacing w:line="240" w:lineRule="auto"/>
      </w:pPr>
      <w:r>
        <w:separator/>
      </w:r>
    </w:p>
  </w:endnote>
  <w:endnote w:type="continuationSeparator" w:id="0">
    <w:p w:rsidR="001959BF" w:rsidRDefault="00195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4F" w:rsidRDefault="00AC4B4F">
    <w:pPr>
      <w:jc w:val="right"/>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2D2D9E">
      <w:rPr>
        <w:rFonts w:ascii="Calibri" w:eastAsia="Calibri" w:hAnsi="Calibri" w:cs="Calibri"/>
        <w:noProof/>
        <w:sz w:val="20"/>
        <w:szCs w:val="20"/>
      </w:rPr>
      <w:t>16</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9BF" w:rsidRDefault="001959BF">
      <w:pPr>
        <w:spacing w:line="240" w:lineRule="auto"/>
      </w:pPr>
      <w:r>
        <w:separator/>
      </w:r>
    </w:p>
  </w:footnote>
  <w:footnote w:type="continuationSeparator" w:id="0">
    <w:p w:rsidR="001959BF" w:rsidRDefault="001959BF">
      <w:pPr>
        <w:spacing w:line="240" w:lineRule="auto"/>
      </w:pPr>
      <w:r>
        <w:continuationSeparator/>
      </w:r>
    </w:p>
  </w:footnote>
  <w:footnote w:id="1">
    <w:p w:rsidR="00AC4B4F" w:rsidRDefault="00AC4B4F">
      <w:pPr>
        <w:pBdr>
          <w:top w:val="nil"/>
          <w:left w:val="nil"/>
          <w:bottom w:val="nil"/>
          <w:right w:val="nil"/>
          <w:between w:val="nil"/>
        </w:pBdr>
        <w:spacing w:line="240" w:lineRule="auto"/>
        <w:jc w:val="both"/>
        <w:rPr>
          <w:rFonts w:ascii="Calibri" w:eastAsia="Calibri" w:hAnsi="Calibri" w:cs="Calibri"/>
          <w:color w:val="000000"/>
          <w:sz w:val="20"/>
          <w:szCs w:val="20"/>
        </w:rPr>
      </w:pPr>
      <w:bookmarkStart w:id="0" w:name="_heading=h.1fob9te" w:colFirst="0" w:colLast="0"/>
      <w:bookmarkEnd w:id="0"/>
      <w:r>
        <w:rPr>
          <w:vertAlign w:val="superscript"/>
        </w:rPr>
        <w:footnoteRef/>
      </w:r>
      <w:r>
        <w:rPr>
          <w:rFonts w:ascii="Calibri" w:eastAsia="Calibri" w:hAnsi="Calibri" w:cs="Calibri"/>
          <w:sz w:val="20"/>
          <w:szCs w:val="20"/>
          <w:highlight w:val="white"/>
        </w:rPr>
        <w:t xml:space="preserve"> La Innovación Social es la construcción de nuevas prácticas sociales, (investigación, innovación y desarrollo, creación artística, entre otros), impulsadas por actores o constelaciones de actores de manera intencional con el objetivo de responder mejor a problemas urgentes de la sociedad. Se trata de procesos de construcción colectiva en los cuales el aprendizaje y la invención son parte fundamental para la generación de conocimiento con énfasis en la participación de actores territoriales.</w:t>
      </w:r>
    </w:p>
  </w:footnote>
  <w:footnote w:id="2">
    <w:p w:rsidR="00AC4B4F" w:rsidRDefault="00AC4B4F">
      <w:pPr>
        <w:pBdr>
          <w:top w:val="nil"/>
          <w:left w:val="nil"/>
          <w:bottom w:val="nil"/>
          <w:right w:val="nil"/>
          <w:between w:val="nil"/>
        </w:pBdr>
        <w:spacing w:line="240" w:lineRule="auto"/>
        <w:rPr>
          <w:color w:val="000000"/>
          <w:sz w:val="20"/>
          <w:szCs w:val="20"/>
        </w:rPr>
      </w:pPr>
      <w:r>
        <w:rPr>
          <w:vertAlign w:val="superscript"/>
        </w:rPr>
        <w:footnoteRef/>
      </w:r>
      <w:r>
        <w:rPr>
          <w:rFonts w:ascii="Calibri" w:eastAsia="Calibri" w:hAnsi="Calibri" w:cs="Calibri"/>
          <w:color w:val="000000"/>
          <w:sz w:val="20"/>
          <w:szCs w:val="20"/>
        </w:rPr>
        <w:t xml:space="preserve"> Las y los académicos pueden ser de planta, contrata u honorarios. En el caso de quienes presten servicios en calidad de honorarios o contrata excepcional, no podrán contar con descarga horaria.  </w:t>
      </w:r>
    </w:p>
  </w:footnote>
  <w:footnote w:id="3">
    <w:p w:rsidR="00AC4B4F" w:rsidRDefault="00AC4B4F">
      <w:pPr>
        <w:spacing w:line="240" w:lineRule="auto"/>
        <w:jc w:val="both"/>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A diferencia de la participación obligatoria de académicos/as, estudiantes y actores territoriales,</w:t>
      </w:r>
      <w:r>
        <w:rPr>
          <w:sz w:val="20"/>
          <w:szCs w:val="20"/>
        </w:rPr>
        <w:t xml:space="preserve"> </w:t>
      </w:r>
      <w:r>
        <w:rPr>
          <w:rFonts w:ascii="Calibri" w:eastAsia="Calibri" w:hAnsi="Calibri" w:cs="Calibri"/>
          <w:sz w:val="20"/>
          <w:szCs w:val="20"/>
        </w:rPr>
        <w:t xml:space="preserve">la incorporación de funcionarios/as se considera opcional, siempre que su incorporación se justifique debidamente en la propuesta presentada y contarán con 3 horas de su jornada laboral para participar. </w:t>
      </w:r>
    </w:p>
  </w:footnote>
  <w:footnote w:id="4">
    <w:p w:rsidR="00AC4B4F" w:rsidRDefault="00AC4B4F">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Las iniciativas no deben limitarse a espacios educativos formales, el fortalecimiento de aprendizajes se entiende de un modo amplio. Además, se debe contemplar la interdisciplinariedad como herramienta de articulación estratégica para el abordaje de las temáticas. </w:t>
      </w:r>
    </w:p>
  </w:footnote>
  <w:footnote w:id="5">
    <w:p w:rsidR="00AC4B4F" w:rsidRDefault="00AC4B4F">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El nexo previo puede ser una alianza formalizada o no con alguno de los participantes del equipo, no necesariamente con la Universidad, que implique un lazo capaz de potenciar la articulación entre la Universidad y el territorio. </w:t>
      </w:r>
    </w:p>
  </w:footnote>
  <w:footnote w:id="6">
    <w:p w:rsidR="00AC4B4F" w:rsidRDefault="00AC4B4F">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 entenderá por actores territoriales, toda organización y/o institución de la sociedad civil o comunidad organizada con quien se pueda establecer un acuerdo de trabajo para desarrollar el proyecto. En este sentido, los actores territoriales son claves para el éxito del proyecto, pues son justamente los que permiten el anclaje al territorio como también su permanencia, una vez terminado el proyecto.    </w:t>
      </w:r>
    </w:p>
  </w:footnote>
  <w:footnote w:id="7">
    <w:p w:rsidR="00AC4B4F" w:rsidRDefault="00AC4B4F">
      <w:pPr>
        <w:pBdr>
          <w:top w:val="nil"/>
          <w:left w:val="nil"/>
          <w:bottom w:val="nil"/>
          <w:right w:val="nil"/>
          <w:between w:val="nil"/>
        </w:pBd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color w:val="000000"/>
          <w:sz w:val="20"/>
          <w:szCs w:val="20"/>
        </w:rPr>
        <w:t xml:space="preserve">Tanto el/la Responsable de proyecto, como </w:t>
      </w:r>
      <w:proofErr w:type="spellStart"/>
      <w:r>
        <w:rPr>
          <w:rFonts w:ascii="Calibri" w:eastAsia="Calibri" w:hAnsi="Calibri" w:cs="Calibri"/>
          <w:sz w:val="20"/>
          <w:szCs w:val="20"/>
        </w:rPr>
        <w:t>e</w:t>
      </w:r>
      <w:r>
        <w:rPr>
          <w:rFonts w:ascii="Calibri" w:eastAsia="Calibri" w:hAnsi="Calibri" w:cs="Calibri"/>
          <w:color w:val="000000"/>
          <w:sz w:val="20"/>
          <w:szCs w:val="20"/>
        </w:rPr>
        <w:t>l</w:t>
      </w:r>
      <w:proofErr w:type="spellEnd"/>
      <w:r>
        <w:rPr>
          <w:rFonts w:ascii="Calibri" w:eastAsia="Calibri" w:hAnsi="Calibri" w:cs="Calibri"/>
          <w:color w:val="000000"/>
          <w:sz w:val="20"/>
          <w:szCs w:val="20"/>
        </w:rPr>
        <w:t xml:space="preserve"> o la corresponsable, deben </w:t>
      </w:r>
      <w:r>
        <w:rPr>
          <w:rFonts w:ascii="Calibri" w:eastAsia="Calibri" w:hAnsi="Calibri" w:cs="Calibri"/>
          <w:sz w:val="20"/>
          <w:szCs w:val="20"/>
        </w:rPr>
        <w:t xml:space="preserve">asegurar su permanencia presencial </w:t>
      </w:r>
      <w:r>
        <w:rPr>
          <w:rFonts w:ascii="Calibri" w:eastAsia="Calibri" w:hAnsi="Calibri" w:cs="Calibri"/>
          <w:color w:val="000000"/>
          <w:sz w:val="20"/>
          <w:szCs w:val="20"/>
        </w:rPr>
        <w:t>en la Región de Valparaíso durante los meses de ejecución de la</w:t>
      </w:r>
      <w:r>
        <w:rPr>
          <w:rFonts w:ascii="Calibri" w:eastAsia="Calibri" w:hAnsi="Calibri" w:cs="Calibri"/>
          <w:sz w:val="20"/>
          <w:szCs w:val="20"/>
        </w:rPr>
        <w:t xml:space="preserve"> iniciativa y deben tener una situación contractual de planta o contrata. </w:t>
      </w:r>
    </w:p>
  </w:footnote>
  <w:footnote w:id="8">
    <w:p w:rsidR="00AC4B4F" w:rsidRDefault="00AC4B4F">
      <w:pPr>
        <w:pBdr>
          <w:top w:val="nil"/>
          <w:left w:val="nil"/>
          <w:bottom w:val="nil"/>
          <w:right w:val="nil"/>
          <w:between w:val="nil"/>
        </w:pBdr>
        <w:spacing w:line="240" w:lineRule="auto"/>
        <w:jc w:val="both"/>
        <w:rPr>
          <w:sz w:val="20"/>
          <w:szCs w:val="20"/>
        </w:rPr>
      </w:pPr>
      <w:r>
        <w:rPr>
          <w:vertAlign w:val="superscript"/>
        </w:rPr>
        <w:footnoteRef/>
      </w:r>
      <w:r>
        <w:rPr>
          <w:sz w:val="20"/>
          <w:szCs w:val="20"/>
        </w:rPr>
        <w:t xml:space="preserve"> </w:t>
      </w:r>
      <w:r>
        <w:rPr>
          <w:rFonts w:ascii="Calibri" w:eastAsia="Calibri" w:hAnsi="Calibri" w:cs="Calibri"/>
          <w:sz w:val="20"/>
          <w:szCs w:val="20"/>
        </w:rPr>
        <w:t>La descarga horaria solamente puede hacerse efectiva en académicos/as cuya situación contractual sea contrata o planta.</w:t>
      </w:r>
      <w:r>
        <w:rPr>
          <w:sz w:val="20"/>
          <w:szCs w:val="20"/>
        </w:rPr>
        <w:t xml:space="preserve"> </w:t>
      </w:r>
    </w:p>
  </w:footnote>
  <w:footnote w:id="9">
    <w:p w:rsidR="00AC4B4F" w:rsidRDefault="00AC4B4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https://drive.google.com/file/d/1licXHqHE-duhJK5gWf6_Hoa5rrzl2f3d/view</w:t>
      </w:r>
    </w:p>
  </w:footnote>
  <w:footnote w:id="10">
    <w:p w:rsidR="00AC4B4F" w:rsidRDefault="00AC4B4F">
      <w:pPr>
        <w:spacing w:line="240" w:lineRule="auto"/>
        <w:jc w:val="both"/>
        <w:rPr>
          <w:color w:val="FF0000"/>
          <w:sz w:val="20"/>
          <w:szCs w:val="20"/>
        </w:rPr>
      </w:pPr>
      <w:r>
        <w:rPr>
          <w:vertAlign w:val="superscript"/>
        </w:rPr>
        <w:footnoteRef/>
      </w:r>
      <w:r>
        <w:rPr>
          <w:sz w:val="20"/>
          <w:szCs w:val="20"/>
        </w:rPr>
        <w:t xml:space="preserve"> </w:t>
      </w:r>
      <w:r>
        <w:rPr>
          <w:rFonts w:ascii="Calibri" w:eastAsia="Calibri" w:hAnsi="Calibri" w:cs="Calibri"/>
          <w:sz w:val="20"/>
          <w:szCs w:val="20"/>
        </w:rPr>
        <w:t>Se debe considerar que el primer mes de ejecución se contempla actividades de instalación y gestión del equipo.</w:t>
      </w:r>
      <w:r>
        <w:rPr>
          <w:color w:val="FF0000"/>
          <w:sz w:val="20"/>
          <w:szCs w:val="20"/>
        </w:rPr>
        <w:t xml:space="preserve"> </w:t>
      </w:r>
    </w:p>
  </w:footnote>
  <w:footnote w:id="11">
    <w:p w:rsidR="00AC4B4F" w:rsidRDefault="00AC4B4F">
      <w:pPr>
        <w:pStyle w:val="Textonotapie"/>
      </w:pPr>
      <w:r>
        <w:rPr>
          <w:rStyle w:val="Refdenotaalpie"/>
        </w:rPr>
        <w:footnoteRef/>
      </w:r>
      <w:r>
        <w:t xml:space="preserve"> </w:t>
      </w:r>
      <w:r w:rsidRPr="008E634E">
        <w:rPr>
          <w:rFonts w:asciiTheme="minorHAnsi" w:hAnsiTheme="minorHAnsi" w:cstheme="minorHAnsi"/>
          <w:sz w:val="18"/>
        </w:rPr>
        <w:t>La ejecución presupuestaria debe terminar en el mes de agosto. De existir una prórroga del proyecto CD UPA2395, podría eventualmente extenderse según determine la DGVM y los plazos institucionales.</w:t>
      </w:r>
      <w:r w:rsidRPr="008E634E">
        <w:rPr>
          <w:sz w:val="18"/>
        </w:rPr>
        <w:t xml:space="preserve"> </w:t>
      </w:r>
    </w:p>
  </w:footnote>
  <w:footnote w:id="12">
    <w:p w:rsidR="00AC4B4F" w:rsidRDefault="00AC4B4F">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La jornada de cierre podría calendarizarse posterior al cierre de los proyectos. </w:t>
      </w:r>
    </w:p>
  </w:footnote>
  <w:footnote w:id="13">
    <w:p w:rsidR="00AC4B4F" w:rsidRDefault="00AC4B4F">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Las contribuciones pueden ser a nivel académico o institucional (internas) y/o en el/</w:t>
      </w:r>
      <w:proofErr w:type="gramStart"/>
      <w:r>
        <w:rPr>
          <w:rFonts w:ascii="Calibri" w:eastAsia="Calibri" w:hAnsi="Calibri" w:cs="Calibri"/>
          <w:color w:val="000000"/>
          <w:sz w:val="20"/>
          <w:szCs w:val="20"/>
        </w:rPr>
        <w:t>los territorio</w:t>
      </w:r>
      <w:proofErr w:type="gramEnd"/>
      <w:r>
        <w:rPr>
          <w:rFonts w:ascii="Calibri" w:eastAsia="Calibri" w:hAnsi="Calibri" w:cs="Calibri"/>
          <w:color w:val="000000"/>
          <w:sz w:val="20"/>
          <w:szCs w:val="20"/>
        </w:rPr>
        <w:t>(s) involucrado(s).</w:t>
      </w:r>
    </w:p>
  </w:footnote>
  <w:footnote w:id="14">
    <w:p w:rsidR="00AC4B4F" w:rsidRDefault="00AC4B4F">
      <w:pPr>
        <w:pBdr>
          <w:top w:val="nil"/>
          <w:left w:val="nil"/>
          <w:bottom w:val="nil"/>
          <w:right w:val="nil"/>
          <w:between w:val="nil"/>
        </w:pBd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Haber adjudicado como máximo un financiamiento de la DGVM. </w:t>
      </w:r>
    </w:p>
  </w:footnote>
  <w:footnote w:id="15">
    <w:p w:rsidR="00AC4B4F" w:rsidRDefault="00AC4B4F">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Toda gestión relacionada a las cotizaciones, será deber del equipo.</w:t>
      </w:r>
      <w:r>
        <w:rPr>
          <w:color w:val="000000"/>
          <w:sz w:val="20"/>
          <w:szCs w:val="20"/>
        </w:rPr>
        <w:t xml:space="preserve"> </w:t>
      </w:r>
    </w:p>
  </w:footnote>
  <w:footnote w:id="16">
    <w:p w:rsidR="00AC4B4F" w:rsidRDefault="00AC4B4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b/>
          <w:sz w:val="20"/>
          <w:szCs w:val="20"/>
        </w:rPr>
        <w:t>No</w:t>
      </w:r>
      <w:r>
        <w:rPr>
          <w:rFonts w:ascii="Calibri" w:eastAsia="Calibri" w:hAnsi="Calibri" w:cs="Calibri"/>
          <w:sz w:val="20"/>
          <w:szCs w:val="20"/>
        </w:rPr>
        <w:t xml:space="preserve"> son permitidos los giros a rendir ni el traspaso directo de dinero en efectivo. </w:t>
      </w:r>
    </w:p>
  </w:footnote>
  <w:footnote w:id="17">
    <w:p w:rsidR="00AC4B4F" w:rsidRDefault="00AC4B4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Solamente el Fondo de Consolidación contará con compra de bienes. </w:t>
      </w:r>
    </w:p>
  </w:footnote>
  <w:footnote w:id="18">
    <w:p w:rsidR="00AC4B4F" w:rsidRDefault="00AC4B4F">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Esta carta, podrá ser enviada en formato digital, procurando incluir en ella la firma de todos los integrantes del equipo. </w:t>
      </w:r>
    </w:p>
  </w:footnote>
  <w:footnote w:id="19">
    <w:p w:rsidR="00AC4B4F" w:rsidRDefault="00AC4B4F">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La gestión de honorarios debe seguir el conducto institucional que implica llenar la ficha de Solicitud Única de Contratación de Honorarios (SUCH) en el SINTE. </w:t>
      </w:r>
    </w:p>
  </w:footnote>
  <w:footnote w:id="20">
    <w:p w:rsidR="00AC4B4F" w:rsidRDefault="00AC4B4F">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No es posible reembolsar pasajes, bencina ni peajes.</w:t>
      </w:r>
      <w:r>
        <w:rPr>
          <w:color w:val="000000"/>
          <w:sz w:val="20"/>
          <w:szCs w:val="20"/>
        </w:rPr>
        <w:t xml:space="preserve"> </w:t>
      </w:r>
    </w:p>
  </w:footnote>
  <w:footnote w:id="21">
    <w:p w:rsidR="00AC4B4F" w:rsidRDefault="00AC4B4F">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Cada uno de estos artículos no debe superar las 3 UTM.</w:t>
      </w:r>
    </w:p>
  </w:footnote>
  <w:footnote w:id="22">
    <w:p w:rsidR="00AC4B4F" w:rsidRDefault="00AC4B4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El material bibliográfico NO puede ser donado a los actores territoriales relevantes.</w:t>
      </w:r>
    </w:p>
  </w:footnote>
  <w:footnote w:id="23">
    <w:p w:rsidR="00AC4B4F" w:rsidRDefault="00AC4B4F">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No se contabilizarán actividades registradas por la DGVM.</w:t>
      </w:r>
      <w:r>
        <w:rPr>
          <w:sz w:val="20"/>
          <w:szCs w:val="20"/>
        </w:rPr>
        <w:t xml:space="preserve"> </w:t>
      </w:r>
    </w:p>
  </w:footnote>
  <w:footnote w:id="24">
    <w:p w:rsidR="00AC4B4F" w:rsidRDefault="00AC4B4F">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Dicho seguimiento, se realizará mediante reuniones virtuales y/o presenciales de acuerdo a la conveniencia entre ambas partes.  </w:t>
      </w:r>
    </w:p>
  </w:footnote>
  <w:footnote w:id="25">
    <w:p w:rsidR="00AC4B4F" w:rsidRDefault="00AC4B4F">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En el cronograma se deberán contemplar obligatoriamente las actividades de extensión y el hito de finalización.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4F" w:rsidRDefault="00AC4B4F">
    <w:pPr>
      <w:pBdr>
        <w:top w:val="nil"/>
        <w:left w:val="nil"/>
        <w:bottom w:val="nil"/>
        <w:right w:val="nil"/>
        <w:between w:val="nil"/>
      </w:pBdr>
      <w:tabs>
        <w:tab w:val="center" w:pos="4419"/>
        <w:tab w:val="right" w:pos="8838"/>
      </w:tabs>
      <w:spacing w:line="240" w:lineRule="auto"/>
      <w:rPr>
        <w:color w:val="000000"/>
      </w:rPr>
    </w:pPr>
    <w:r>
      <w:rPr>
        <w:noProof/>
        <w:lang w:eastAsia="es-CL"/>
      </w:rPr>
      <w:drawing>
        <wp:anchor distT="0" distB="0" distL="0" distR="0" simplePos="0" relativeHeight="251658240" behindDoc="1" locked="0" layoutInCell="1" hidden="0" allowOverlap="1">
          <wp:simplePos x="0" y="0"/>
          <wp:positionH relativeFrom="column">
            <wp:posOffset>-342898</wp:posOffset>
          </wp:positionH>
          <wp:positionV relativeFrom="paragraph">
            <wp:posOffset>-429256</wp:posOffset>
          </wp:positionV>
          <wp:extent cx="776176" cy="839972"/>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176" cy="839972"/>
                  </a:xfrm>
                  <a:prstGeom prst="rect">
                    <a:avLst/>
                  </a:prstGeom>
                  <a:ln/>
                </pic:spPr>
              </pic:pic>
            </a:graphicData>
          </a:graphic>
        </wp:anchor>
      </w:drawing>
    </w:r>
    <w:r>
      <w:rPr>
        <w:noProof/>
        <w:lang w:eastAsia="es-CL"/>
      </w:rPr>
      <w:drawing>
        <wp:anchor distT="0" distB="0" distL="0" distR="0" simplePos="0" relativeHeight="251659264" behindDoc="1" locked="0" layoutInCell="1" hidden="0" allowOverlap="1">
          <wp:simplePos x="0" y="0"/>
          <wp:positionH relativeFrom="column">
            <wp:posOffset>3139440</wp:posOffset>
          </wp:positionH>
          <wp:positionV relativeFrom="paragraph">
            <wp:posOffset>-192402</wp:posOffset>
          </wp:positionV>
          <wp:extent cx="1291636" cy="542925"/>
          <wp:effectExtent l="0" t="0" r="0" b="0"/>
          <wp:wrapNone/>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291636" cy="542925"/>
                  </a:xfrm>
                  <a:prstGeom prst="rect">
                    <a:avLst/>
                  </a:prstGeom>
                  <a:ln/>
                </pic:spPr>
              </pic:pic>
            </a:graphicData>
          </a:graphic>
        </wp:anchor>
      </w:drawing>
    </w:r>
    <w:r>
      <w:rPr>
        <w:noProof/>
        <w:lang w:eastAsia="es-CL"/>
      </w:rPr>
      <w:drawing>
        <wp:anchor distT="0" distB="0" distL="0" distR="0" simplePos="0" relativeHeight="251660288" behindDoc="1" locked="0" layoutInCell="1" hidden="0" allowOverlap="1">
          <wp:simplePos x="0" y="0"/>
          <wp:positionH relativeFrom="column">
            <wp:posOffset>4577715</wp:posOffset>
          </wp:positionH>
          <wp:positionV relativeFrom="paragraph">
            <wp:posOffset>-107311</wp:posOffset>
          </wp:positionV>
          <wp:extent cx="1647825" cy="457889"/>
          <wp:effectExtent l="0" t="0" r="0" b="0"/>
          <wp:wrapNone/>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647825" cy="45788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1CE"/>
    <w:multiLevelType w:val="multilevel"/>
    <w:tmpl w:val="5964B912"/>
    <w:lvl w:ilvl="0">
      <w:start w:val="1"/>
      <w:numFmt w:val="bullet"/>
      <w:lvlText w:val="●"/>
      <w:lvlJc w:val="left"/>
      <w:pPr>
        <w:ind w:left="786"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C31150"/>
    <w:multiLevelType w:val="multilevel"/>
    <w:tmpl w:val="B8E01A8A"/>
    <w:lvl w:ilvl="0">
      <w:start w:val="1"/>
      <w:numFmt w:val="bullet"/>
      <w:lvlText w:val="●"/>
      <w:lvlJc w:val="left"/>
      <w:pPr>
        <w:ind w:left="786"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9C046E"/>
    <w:multiLevelType w:val="multilevel"/>
    <w:tmpl w:val="5A5E36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EF93C98"/>
    <w:multiLevelType w:val="multilevel"/>
    <w:tmpl w:val="C0CCE2C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1E27836"/>
    <w:multiLevelType w:val="multilevel"/>
    <w:tmpl w:val="29EA4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1B0564"/>
    <w:multiLevelType w:val="multilevel"/>
    <w:tmpl w:val="198EB4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0C912A5"/>
    <w:multiLevelType w:val="multilevel"/>
    <w:tmpl w:val="CB7E2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AB20F3"/>
    <w:multiLevelType w:val="multilevel"/>
    <w:tmpl w:val="99783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C636A4"/>
    <w:multiLevelType w:val="multilevel"/>
    <w:tmpl w:val="F3FEDA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2453F45"/>
    <w:multiLevelType w:val="multilevel"/>
    <w:tmpl w:val="FDB25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DD581C"/>
    <w:multiLevelType w:val="multilevel"/>
    <w:tmpl w:val="0658CBCC"/>
    <w:lvl w:ilvl="0">
      <w:start w:val="1"/>
      <w:numFmt w:val="bullet"/>
      <w:lvlText w:val="●"/>
      <w:lvlJc w:val="left"/>
      <w:pPr>
        <w:ind w:left="786" w:hanging="360"/>
      </w:pPr>
      <w:rPr>
        <w:rFonts w:ascii="Noto Sans Symbols" w:eastAsia="Noto Sans Symbols" w:hAnsi="Noto Sans Symbols" w:cs="Noto Sans Symbols"/>
        <w:color w:val="000000"/>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10"/>
  </w:num>
  <w:num w:numId="8">
    <w:abstractNumId w:val="9"/>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44"/>
    <w:rsid w:val="0002072E"/>
    <w:rsid w:val="001959BF"/>
    <w:rsid w:val="001A5824"/>
    <w:rsid w:val="002D2D9E"/>
    <w:rsid w:val="006859FE"/>
    <w:rsid w:val="00732844"/>
    <w:rsid w:val="008E634E"/>
    <w:rsid w:val="00AC4B4F"/>
    <w:rsid w:val="00B830EC"/>
    <w:rsid w:val="00C152D7"/>
    <w:rsid w:val="00CC06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6326"/>
  <w15:docId w15:val="{49125A26-C7A5-4CC6-A3F2-8799AF93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674"/>
    <w:rPr>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4D4D0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D4D00"/>
  </w:style>
  <w:style w:type="paragraph" w:styleId="Piedepgina">
    <w:name w:val="footer"/>
    <w:basedOn w:val="Normal"/>
    <w:link w:val="PiedepginaCar"/>
    <w:uiPriority w:val="99"/>
    <w:unhideWhenUsed/>
    <w:rsid w:val="004D4D0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D4D00"/>
  </w:style>
  <w:style w:type="paragraph" w:styleId="Prrafodelista">
    <w:name w:val="List Paragraph"/>
    <w:basedOn w:val="Normal"/>
    <w:uiPriority w:val="34"/>
    <w:qFormat/>
    <w:rsid w:val="006B3674"/>
    <w:pPr>
      <w:ind w:left="720"/>
      <w:contextualSpacing/>
    </w:pPr>
  </w:style>
  <w:style w:type="paragraph" w:styleId="Textonotapie">
    <w:name w:val="footnote text"/>
    <w:basedOn w:val="Normal"/>
    <w:link w:val="TextonotapieCar"/>
    <w:uiPriority w:val="99"/>
    <w:semiHidden/>
    <w:unhideWhenUsed/>
    <w:rsid w:val="001B78BF"/>
    <w:pPr>
      <w:spacing w:line="240" w:lineRule="auto"/>
    </w:pPr>
    <w:rPr>
      <w:sz w:val="20"/>
      <w:szCs w:val="20"/>
    </w:rPr>
  </w:style>
  <w:style w:type="character" w:customStyle="1" w:styleId="TextonotapieCar">
    <w:name w:val="Texto nota pie Car"/>
    <w:basedOn w:val="Fuentedeprrafopredeter"/>
    <w:link w:val="Textonotapie"/>
    <w:uiPriority w:val="99"/>
    <w:semiHidden/>
    <w:rsid w:val="001B78BF"/>
    <w:rPr>
      <w:rFonts w:ascii="Arial" w:eastAsia="Arial" w:hAnsi="Arial" w:cs="Arial"/>
      <w:sz w:val="20"/>
      <w:szCs w:val="20"/>
      <w:lang w:eastAsia="es-MX"/>
    </w:rPr>
  </w:style>
  <w:style w:type="character" w:styleId="Refdenotaalpie">
    <w:name w:val="footnote reference"/>
    <w:basedOn w:val="Fuentedeprrafopredeter"/>
    <w:uiPriority w:val="99"/>
    <w:semiHidden/>
    <w:unhideWhenUsed/>
    <w:rsid w:val="001B78BF"/>
    <w:rPr>
      <w:vertAlign w:val="superscript"/>
    </w:rPr>
  </w:style>
  <w:style w:type="character" w:styleId="Hipervnculo">
    <w:name w:val="Hyperlink"/>
    <w:basedOn w:val="Fuentedeprrafopredeter"/>
    <w:uiPriority w:val="99"/>
    <w:unhideWhenUsed/>
    <w:rsid w:val="00292CC4"/>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eastAsia="es-MX"/>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B1C1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C1A"/>
    <w:rPr>
      <w:rFonts w:ascii="Segoe UI" w:hAnsi="Segoe UI" w:cs="Segoe UI"/>
      <w:sz w:val="18"/>
      <w:szCs w:val="18"/>
      <w:lang w:eastAsia="es-MX"/>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la.cl/vinculacion/category/convocatoria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pla.cl/vinculacion/category/convocatori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nidadinnovacionsocial@upla.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la.cl/vinculacion/category/convocatorias/" TargetMode="External"/><Relationship Id="rId5" Type="http://schemas.openxmlformats.org/officeDocument/2006/relationships/settings" Target="settings.xml"/><Relationship Id="rId15" Type="http://schemas.openxmlformats.org/officeDocument/2006/relationships/hyperlink" Target="mailto:unidadinnovacionsocial@upla.cl" TargetMode="External"/><Relationship Id="rId10" Type="http://schemas.openxmlformats.org/officeDocument/2006/relationships/hyperlink" Target="https://upla.cl/vinculacion/category/convocatoria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pla.cl/vinculacion/category/convocatorias/" TargetMode="External"/><Relationship Id="rId14" Type="http://schemas.openxmlformats.org/officeDocument/2006/relationships/hyperlink" Target="mailto:unidadinnovacionsocial@upla.c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cCJeCoueESGHQBRtVaVlLFTTw==">CgMxLjAyCGguZ2pkZ3hzMgloLjJldDkycDAyCWguMzBqMHpsbDINaC5kOW9vaXZvNjg5bjIJaC4zem55c2g3MgloLjFmb2I5dGU4AHIhMUN6UGFzODh5aXV3d3JVZVg5YVlkbHZRSVB0X2pCd3F6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8372EC-9CD2-4C0C-9346-EF5774FB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5207</Words>
  <Characters>28639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UIS</dc:creator>
  <cp:lastModifiedBy>UIS</cp:lastModifiedBy>
  <cp:revision>6</cp:revision>
  <dcterms:created xsi:type="dcterms:W3CDTF">2024-09-04T18:18:00Z</dcterms:created>
  <dcterms:modified xsi:type="dcterms:W3CDTF">2024-12-10T12:26:00Z</dcterms:modified>
</cp:coreProperties>
</file>